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D56C92" w:rsidP="006A5BD4" w:rsidRDefault="00E052AA" w14:paraId="068B9C0A" w14:textId="77777777">
      <w:pPr>
        <w:rPr>
          <w:b/>
          <w:bCs/>
          <w:sz w:val="28"/>
          <w:szCs w:val="28"/>
        </w:rPr>
      </w:pPr>
      <w:r w:rsidRPr="00D56C92">
        <w:rPr>
          <w:b/>
          <w:bCs/>
          <w:sz w:val="28"/>
          <w:szCs w:val="28"/>
        </w:rPr>
        <w:t xml:space="preserve">You are invited to the </w:t>
      </w:r>
      <w:r w:rsidRPr="00D56C92" w:rsidR="00593B21">
        <w:rPr>
          <w:b/>
          <w:bCs/>
          <w:sz w:val="28"/>
          <w:szCs w:val="28"/>
        </w:rPr>
        <w:t>I</w:t>
      </w:r>
      <w:r w:rsidRPr="00D56C92" w:rsidR="00980C61">
        <w:rPr>
          <w:b/>
          <w:bCs/>
          <w:sz w:val="28"/>
          <w:szCs w:val="28"/>
        </w:rPr>
        <w:t xml:space="preserve">llinois </w:t>
      </w:r>
      <w:r w:rsidRPr="00D56C92">
        <w:rPr>
          <w:b/>
          <w:bCs/>
          <w:sz w:val="28"/>
          <w:szCs w:val="28"/>
        </w:rPr>
        <w:t>D</w:t>
      </w:r>
      <w:r w:rsidRPr="00D56C92" w:rsidR="00980C61">
        <w:rPr>
          <w:b/>
          <w:bCs/>
          <w:sz w:val="28"/>
          <w:szCs w:val="28"/>
        </w:rPr>
        <w:t>ept</w:t>
      </w:r>
      <w:r w:rsidRPr="00D56C92" w:rsidR="00894D1D">
        <w:rPr>
          <w:b/>
          <w:bCs/>
          <w:sz w:val="28"/>
          <w:szCs w:val="28"/>
        </w:rPr>
        <w:t>. of</w:t>
      </w:r>
      <w:r w:rsidRPr="00D56C92" w:rsidR="00980C61">
        <w:rPr>
          <w:b/>
          <w:bCs/>
          <w:sz w:val="28"/>
          <w:szCs w:val="28"/>
        </w:rPr>
        <w:t xml:space="preserve"> </w:t>
      </w:r>
      <w:r w:rsidRPr="00D56C92" w:rsidR="00593B21">
        <w:rPr>
          <w:b/>
          <w:bCs/>
          <w:sz w:val="28"/>
          <w:szCs w:val="28"/>
        </w:rPr>
        <w:t>H</w:t>
      </w:r>
      <w:r w:rsidRPr="00D56C92" w:rsidR="00980C61">
        <w:rPr>
          <w:b/>
          <w:bCs/>
          <w:sz w:val="28"/>
          <w:szCs w:val="28"/>
        </w:rPr>
        <w:t xml:space="preserve">uman </w:t>
      </w:r>
      <w:r w:rsidRPr="00D56C92" w:rsidR="00593B21">
        <w:rPr>
          <w:b/>
          <w:bCs/>
          <w:sz w:val="28"/>
          <w:szCs w:val="28"/>
        </w:rPr>
        <w:t>S</w:t>
      </w:r>
      <w:r w:rsidRPr="00D56C92" w:rsidR="00980C61">
        <w:rPr>
          <w:b/>
          <w:bCs/>
          <w:sz w:val="28"/>
          <w:szCs w:val="28"/>
        </w:rPr>
        <w:t>ervices</w:t>
      </w:r>
      <w:r w:rsidRPr="00D56C92">
        <w:rPr>
          <w:b/>
          <w:bCs/>
          <w:sz w:val="28"/>
          <w:szCs w:val="28"/>
        </w:rPr>
        <w:t xml:space="preserve"> Virtual</w:t>
      </w:r>
      <w:r w:rsidRPr="00D56C92" w:rsidR="00593B21">
        <w:rPr>
          <w:b/>
          <w:bCs/>
          <w:sz w:val="28"/>
          <w:szCs w:val="28"/>
        </w:rPr>
        <w:t xml:space="preserve"> </w:t>
      </w:r>
      <w:r w:rsidRPr="00D56C92" w:rsidR="007E063F">
        <w:rPr>
          <w:b/>
          <w:bCs/>
          <w:sz w:val="28"/>
          <w:szCs w:val="28"/>
        </w:rPr>
        <w:t xml:space="preserve">Recruitment </w:t>
      </w:r>
    </w:p>
    <w:p w:rsidRPr="00D56C92" w:rsidR="000844E2" w:rsidP="00D56C92" w:rsidRDefault="007E063F" w14:paraId="384AB8B6" w14:textId="753ED559">
      <w:pPr>
        <w:ind w:left="2880" w:firstLine="720"/>
        <w:rPr>
          <w:b/>
          <w:bCs/>
          <w:sz w:val="28"/>
          <w:szCs w:val="28"/>
        </w:rPr>
      </w:pPr>
      <w:r w:rsidRPr="00D56C92">
        <w:rPr>
          <w:b/>
          <w:bCs/>
          <w:sz w:val="28"/>
          <w:szCs w:val="28"/>
        </w:rPr>
        <w:t>Presentation</w:t>
      </w:r>
      <w:r w:rsidRPr="00D56C92" w:rsidR="003B073D">
        <w:rPr>
          <w:b/>
          <w:bCs/>
          <w:sz w:val="28"/>
          <w:szCs w:val="28"/>
        </w:rPr>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101278D5">
      <w:r w:rsidRPr="3980C210" w:rsidR="3980C210">
        <w:rPr>
          <w:b w:val="1"/>
          <w:bCs w:val="1"/>
        </w:rPr>
        <w:t xml:space="preserve"> Illinois Department of Human Services Virtual Recruitment Event</w:t>
      </w:r>
      <w:r>
        <w:br/>
      </w:r>
      <w:r w:rsidRPr="3980C210" w:rsidR="3980C210">
        <w:rPr>
          <w:b w:val="1"/>
          <w:bCs w:val="1"/>
        </w:rPr>
        <w:t xml:space="preserve"> Wednesday, December 17, 2025, 10:00 am – 11:00 am</w:t>
      </w:r>
      <w:r>
        <w:br/>
      </w:r>
      <w:r w:rsidRPr="3980C210" w:rsidR="3980C210">
        <w:rPr>
          <w:b w:val="1"/>
          <w:bCs w:val="1"/>
        </w:rPr>
        <w:t xml:space="preserve"> Virtual Recruitment Event</w:t>
      </w:r>
      <w:r>
        <w:br/>
      </w:r>
      <w:r w:rsidRPr="3980C210" w:rsidR="3980C210">
        <w:rPr>
          <w:b w:val="1"/>
          <w:bCs w:val="1"/>
        </w:rPr>
        <w:t xml:space="preserve">Please Register at: IDHS Virtual Recruitment Events - </w:t>
      </w:r>
    </w:p>
    <w:p w:rsidR="00C56365" w:rsidP="00812F45" w:rsidRDefault="00EF0054" w14:paraId="796B42D0" w14:textId="77777777">
      <w:hyperlink w:history="1" r:id="rId7">
        <w:r w:rsidRPr="005F5356">
          <w:rPr>
            <w:rStyle w:val="Hyperlink"/>
          </w:rPr>
          <w:t>www.DHS.STATE.IL.US/PAGE.ASPX?ITEM=80790</w:t>
        </w:r>
      </w:hyperlink>
    </w:p>
    <w:p w:rsidR="00814592" w:rsidP="00812F45" w:rsidRDefault="00814592" w14:paraId="69D3ECF1" w14:textId="77777777"/>
    <w:p w:rsidR="006A5BD4" w:rsidP="00812F45" w:rsidRDefault="006A5BD4" w14:paraId="7CF23CF3" w14:textId="77777777">
      <w:pPr>
        <w:rPr>
          <w:color w:val="FF000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4068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3E239C"/>
    <w:rsid w:val="0041187B"/>
    <w:rsid w:val="00445F39"/>
    <w:rsid w:val="0046756F"/>
    <w:rsid w:val="00470167"/>
    <w:rsid w:val="00476318"/>
    <w:rsid w:val="004D1EB8"/>
    <w:rsid w:val="004F0902"/>
    <w:rsid w:val="00511CED"/>
    <w:rsid w:val="00525AC6"/>
    <w:rsid w:val="00535FF0"/>
    <w:rsid w:val="00552D1B"/>
    <w:rsid w:val="00576A81"/>
    <w:rsid w:val="00583606"/>
    <w:rsid w:val="00593B21"/>
    <w:rsid w:val="005D1AA7"/>
    <w:rsid w:val="005F6397"/>
    <w:rsid w:val="006465FE"/>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0C4"/>
    <w:rsid w:val="00AA1341"/>
    <w:rsid w:val="00AB410D"/>
    <w:rsid w:val="00AB5356"/>
    <w:rsid w:val="00B1579C"/>
    <w:rsid w:val="00B24A84"/>
    <w:rsid w:val="00B45669"/>
    <w:rsid w:val="00B547C1"/>
    <w:rsid w:val="00B67107"/>
    <w:rsid w:val="00B815A9"/>
    <w:rsid w:val="00B9270A"/>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56C92"/>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3980C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2025-12-02T13:08:00.0000000Z</dcterms:created>
  <dcterms:modified xsi:type="dcterms:W3CDTF">2025-12-02T13:10:46.1860333Z</dcterms:modified>
</coreProperties>
</file>