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AF88B" w14:textId="3A667C80" w:rsidR="00E62CD5" w:rsidRDefault="00E62CD5" w:rsidP="00041639">
      <w:pPr>
        <w:jc w:val="center"/>
        <w:rPr>
          <w:b/>
          <w:bCs/>
        </w:rPr>
      </w:pPr>
      <w:r>
        <w:rPr>
          <w:b/>
          <w:bCs/>
        </w:rPr>
        <w:t xml:space="preserve">Illinois </w:t>
      </w:r>
      <w:r w:rsidR="0082238E">
        <w:rPr>
          <w:b/>
          <w:bCs/>
        </w:rPr>
        <w:t>Workforce Investment Board (</w:t>
      </w:r>
      <w:r w:rsidR="0027718A">
        <w:rPr>
          <w:b/>
          <w:bCs/>
        </w:rPr>
        <w:t>I</w:t>
      </w:r>
      <w:r>
        <w:rPr>
          <w:b/>
          <w:bCs/>
        </w:rPr>
        <w:t>WIB</w:t>
      </w:r>
      <w:r w:rsidR="0082238E">
        <w:rPr>
          <w:b/>
          <w:bCs/>
        </w:rPr>
        <w:t>)</w:t>
      </w:r>
      <w:r>
        <w:rPr>
          <w:b/>
          <w:bCs/>
        </w:rPr>
        <w:t xml:space="preserve"> </w:t>
      </w:r>
      <w:r w:rsidR="00D32359" w:rsidRPr="00E62CD5">
        <w:rPr>
          <w:b/>
          <w:bCs/>
        </w:rPr>
        <w:t xml:space="preserve">Equity Taskforce </w:t>
      </w:r>
      <w:r w:rsidR="00761E91" w:rsidRPr="00E62CD5">
        <w:rPr>
          <w:b/>
          <w:bCs/>
        </w:rPr>
        <w:t>Policy Workgroup Recommendations</w:t>
      </w:r>
      <w:r w:rsidR="00041639" w:rsidRPr="00E62CD5">
        <w:rPr>
          <w:b/>
          <w:bCs/>
        </w:rPr>
        <w:t xml:space="preserve">: </w:t>
      </w:r>
    </w:p>
    <w:p w14:paraId="5D8F8877" w14:textId="251AF58D" w:rsidR="00761E91" w:rsidRPr="00E62CD5" w:rsidRDefault="00041639" w:rsidP="00041639">
      <w:pPr>
        <w:jc w:val="center"/>
        <w:rPr>
          <w:rStyle w:val="normaltextrun"/>
          <w:rFonts w:ascii="Calibri" w:eastAsiaTheme="majorEastAsia" w:hAnsi="Calibri" w:cs="Calibri"/>
          <w:b/>
          <w:bCs/>
        </w:rPr>
      </w:pPr>
      <w:r w:rsidRPr="00E62CD5">
        <w:rPr>
          <w:b/>
          <w:bCs/>
        </w:rPr>
        <w:t>S</w:t>
      </w:r>
      <w:r w:rsidR="00761E91" w:rsidRPr="00E62CD5">
        <w:rPr>
          <w:rStyle w:val="normaltextrun"/>
          <w:rFonts w:ascii="Calibri" w:eastAsiaTheme="majorEastAsia" w:hAnsi="Calibri" w:cs="Calibri"/>
          <w:b/>
          <w:bCs/>
        </w:rPr>
        <w:t xml:space="preserve">trategies to </w:t>
      </w:r>
      <w:r w:rsidRPr="00E62CD5">
        <w:rPr>
          <w:rStyle w:val="normaltextrun"/>
          <w:rFonts w:ascii="Calibri" w:eastAsiaTheme="majorEastAsia" w:hAnsi="Calibri" w:cs="Calibri"/>
          <w:b/>
          <w:bCs/>
        </w:rPr>
        <w:t>R</w:t>
      </w:r>
      <w:r w:rsidR="00761E91" w:rsidRPr="00E62CD5">
        <w:rPr>
          <w:rStyle w:val="normaltextrun"/>
          <w:rFonts w:ascii="Calibri" w:eastAsiaTheme="majorEastAsia" w:hAnsi="Calibri" w:cs="Calibri"/>
          <w:b/>
          <w:bCs/>
        </w:rPr>
        <w:t xml:space="preserve">emove </w:t>
      </w:r>
      <w:r w:rsidRPr="00E62CD5">
        <w:rPr>
          <w:rStyle w:val="normaltextrun"/>
          <w:rFonts w:ascii="Calibri" w:eastAsiaTheme="majorEastAsia" w:hAnsi="Calibri" w:cs="Calibri"/>
          <w:b/>
          <w:bCs/>
        </w:rPr>
        <w:t>B</w:t>
      </w:r>
      <w:r w:rsidR="00761E91" w:rsidRPr="00E62CD5">
        <w:rPr>
          <w:rStyle w:val="normaltextrun"/>
          <w:rFonts w:ascii="Calibri" w:eastAsiaTheme="majorEastAsia" w:hAnsi="Calibri" w:cs="Calibri"/>
          <w:b/>
          <w:bCs/>
        </w:rPr>
        <w:t xml:space="preserve">arriers to </w:t>
      </w:r>
      <w:r w:rsidRPr="00E62CD5">
        <w:rPr>
          <w:rStyle w:val="normaltextrun"/>
          <w:rFonts w:ascii="Calibri" w:eastAsiaTheme="majorEastAsia" w:hAnsi="Calibri" w:cs="Calibri"/>
          <w:b/>
          <w:bCs/>
        </w:rPr>
        <w:t>E</w:t>
      </w:r>
      <w:r w:rsidR="00761E91" w:rsidRPr="00E62CD5">
        <w:rPr>
          <w:rStyle w:val="normaltextrun"/>
          <w:rFonts w:ascii="Calibri" w:eastAsiaTheme="majorEastAsia" w:hAnsi="Calibri" w:cs="Calibri"/>
          <w:b/>
          <w:bCs/>
        </w:rPr>
        <w:t xml:space="preserve">quity in </w:t>
      </w:r>
      <w:r w:rsidRPr="00E62CD5">
        <w:rPr>
          <w:rStyle w:val="normaltextrun"/>
          <w:rFonts w:ascii="Calibri" w:eastAsiaTheme="majorEastAsia" w:hAnsi="Calibri" w:cs="Calibri"/>
          <w:b/>
          <w:bCs/>
        </w:rPr>
        <w:t>P</w:t>
      </w:r>
      <w:r w:rsidR="00761E91" w:rsidRPr="00E62CD5">
        <w:rPr>
          <w:rStyle w:val="normaltextrun"/>
          <w:rFonts w:ascii="Calibri" w:eastAsiaTheme="majorEastAsia" w:hAnsi="Calibri" w:cs="Calibri"/>
          <w:b/>
          <w:bCs/>
        </w:rPr>
        <w:t xml:space="preserve">rograms, </w:t>
      </w:r>
      <w:r w:rsidRPr="00E62CD5">
        <w:rPr>
          <w:rStyle w:val="normaltextrun"/>
          <w:rFonts w:ascii="Calibri" w:eastAsiaTheme="majorEastAsia" w:hAnsi="Calibri" w:cs="Calibri"/>
          <w:b/>
          <w:bCs/>
        </w:rPr>
        <w:t>P</w:t>
      </w:r>
      <w:r w:rsidR="00761E91" w:rsidRPr="00E62CD5">
        <w:rPr>
          <w:rStyle w:val="normaltextrun"/>
          <w:rFonts w:ascii="Calibri" w:eastAsiaTheme="majorEastAsia" w:hAnsi="Calibri" w:cs="Calibri"/>
          <w:b/>
          <w:bCs/>
        </w:rPr>
        <w:t xml:space="preserve">olicies, and </w:t>
      </w:r>
      <w:r w:rsidRPr="00E62CD5">
        <w:rPr>
          <w:rStyle w:val="normaltextrun"/>
          <w:rFonts w:ascii="Calibri" w:eastAsiaTheme="majorEastAsia" w:hAnsi="Calibri" w:cs="Calibri"/>
          <w:b/>
          <w:bCs/>
        </w:rPr>
        <w:t>P</w:t>
      </w:r>
      <w:r w:rsidR="00761E91" w:rsidRPr="00E62CD5">
        <w:rPr>
          <w:rStyle w:val="normaltextrun"/>
          <w:rFonts w:ascii="Calibri" w:eastAsiaTheme="majorEastAsia" w:hAnsi="Calibri" w:cs="Calibri"/>
          <w:b/>
          <w:bCs/>
        </w:rPr>
        <w:t>ractices</w:t>
      </w:r>
    </w:p>
    <w:p w14:paraId="6DCA59D8" w14:textId="54439522" w:rsidR="00041639" w:rsidRDefault="00041639" w:rsidP="00041639">
      <w:pPr>
        <w:jc w:val="center"/>
        <w:rPr>
          <w:rStyle w:val="normaltextrun"/>
          <w:rFonts w:ascii="Calibri" w:eastAsiaTheme="majorEastAsia" w:hAnsi="Calibri" w:cs="Calibri"/>
        </w:rPr>
      </w:pPr>
      <w:r>
        <w:rPr>
          <w:rStyle w:val="normaltextrun"/>
          <w:rFonts w:ascii="Calibri" w:eastAsiaTheme="majorEastAsia" w:hAnsi="Calibri" w:cs="Calibri"/>
        </w:rPr>
        <w:t>Draft October 3, 2021</w:t>
      </w:r>
    </w:p>
    <w:p w14:paraId="7D092BCF" w14:textId="58B54908" w:rsidR="00D32359" w:rsidRDefault="00D32359" w:rsidP="00761E91">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p>
    <w:p w14:paraId="2AB2298F" w14:textId="0E0CFA57" w:rsidR="00041639" w:rsidRDefault="0082238E" w:rsidP="00041639">
      <w:pPr>
        <w:spacing w:line="276" w:lineRule="auto"/>
      </w:pPr>
      <w:r>
        <w:rPr>
          <w:rStyle w:val="normaltextrun"/>
          <w:rFonts w:ascii="Calibri" w:eastAsiaTheme="majorEastAsia" w:hAnsi="Calibri" w:cs="Calibri"/>
        </w:rPr>
        <w:t>T</w:t>
      </w:r>
      <w:r w:rsidR="00041639">
        <w:rPr>
          <w:rStyle w:val="normaltextrun"/>
          <w:rFonts w:ascii="Calibri" w:eastAsiaTheme="majorEastAsia" w:hAnsi="Calibri" w:cs="Calibri"/>
        </w:rPr>
        <w:t xml:space="preserve">he Equity Taskforce Policy Workgroup met </w:t>
      </w:r>
      <w:r>
        <w:rPr>
          <w:rStyle w:val="normaltextrun"/>
          <w:rFonts w:ascii="Calibri" w:eastAsiaTheme="majorEastAsia" w:hAnsi="Calibri" w:cs="Calibri"/>
        </w:rPr>
        <w:t xml:space="preserve">over the past year </w:t>
      </w:r>
      <w:r w:rsidR="00041639">
        <w:rPr>
          <w:rStyle w:val="normaltextrun"/>
          <w:rFonts w:ascii="Calibri" w:eastAsiaTheme="majorEastAsia" w:hAnsi="Calibri" w:cs="Calibri"/>
        </w:rPr>
        <w:t xml:space="preserve">to discuss strategies to remove barriers to equity in programs, policies, and practices.  These discussions </w:t>
      </w:r>
      <w:r w:rsidR="00CF16D6">
        <w:rPr>
          <w:rStyle w:val="normaltextrun"/>
          <w:rFonts w:ascii="Calibri" w:eastAsiaTheme="majorEastAsia" w:hAnsi="Calibri" w:cs="Calibri"/>
        </w:rPr>
        <w:t xml:space="preserve">included a specific focus </w:t>
      </w:r>
      <w:r w:rsidR="00041639">
        <w:rPr>
          <w:rStyle w:val="normaltextrun"/>
          <w:rFonts w:ascii="Calibri" w:eastAsiaTheme="majorEastAsia" w:hAnsi="Calibri" w:cs="Calibri"/>
        </w:rPr>
        <w:t>on</w:t>
      </w:r>
      <w:r w:rsidR="00CF16D6">
        <w:rPr>
          <w:rStyle w:val="normaltextrun"/>
          <w:rFonts w:ascii="Calibri" w:eastAsiaTheme="majorEastAsia" w:hAnsi="Calibri" w:cs="Calibri"/>
        </w:rPr>
        <w:t xml:space="preserve"> the ability of</w:t>
      </w:r>
      <w:r w:rsidR="00041639">
        <w:t xml:space="preserve"> culturally responsive community-based organizations </w:t>
      </w:r>
      <w:r w:rsidR="00CF16D6">
        <w:t xml:space="preserve">to </w:t>
      </w:r>
      <w:r w:rsidR="00041639">
        <w:t>qualify for the Eligible Training Provider List (ETPL)</w:t>
      </w:r>
      <w:r w:rsidR="00CF16D6">
        <w:t xml:space="preserve"> (see page 5)</w:t>
      </w:r>
      <w:r w:rsidR="00041639">
        <w:t xml:space="preserve">.  </w:t>
      </w:r>
      <w:r w:rsidR="00CF16D6">
        <w:t>W</w:t>
      </w:r>
      <w:r w:rsidR="00041639">
        <w:t>orkgroup discussions also covered programs, policies, and practices</w:t>
      </w:r>
      <w:r>
        <w:t xml:space="preserve"> from</w:t>
      </w:r>
      <w:r w:rsidR="00041639">
        <w:t xml:space="preserve"> across the full range of services available to workforce system customers, as well as</w:t>
      </w:r>
      <w:r>
        <w:t xml:space="preserve"> </w:t>
      </w:r>
      <w:r w:rsidR="00041639">
        <w:t>governance polic</w:t>
      </w:r>
      <w:r w:rsidR="00CF16D6">
        <w:t>ies</w:t>
      </w:r>
      <w:r w:rsidR="00041639">
        <w:t xml:space="preserve"> </w:t>
      </w:r>
      <w:r w:rsidR="00CF16D6">
        <w:t xml:space="preserve">and </w:t>
      </w:r>
      <w:r w:rsidR="00041639">
        <w:t>practices at the state and regional level. T</w:t>
      </w:r>
      <w:r w:rsidR="00041639">
        <w:t>he Equity Taskforce Co-Leads</w:t>
      </w:r>
      <w:r w:rsidR="00041639">
        <w:t xml:space="preserve"> have also raised issues related to governance and leadership that are reflected here.  This document captures potential recommendations that the workgroup can further discuss and refine.  All recommendations are drawn explicitly from workgroup discussions</w:t>
      </w:r>
      <w:r>
        <w:t>,</w:t>
      </w:r>
      <w:r w:rsidR="00041639">
        <w:t xml:space="preserve"> except for those noted in the footnotes, which were presented to the workgroup in meetings but not discussed in depth.</w:t>
      </w:r>
    </w:p>
    <w:p w14:paraId="313153C3" w14:textId="6436BA42" w:rsidR="00D32359" w:rsidRDefault="00D32359" w:rsidP="00761E91">
      <w:pPr>
        <w:pStyle w:val="paragraph"/>
        <w:spacing w:before="0" w:beforeAutospacing="0" w:after="0" w:afterAutospacing="0" w:line="276" w:lineRule="auto"/>
        <w:textAlignment w:val="baseline"/>
        <w:rPr>
          <w:rStyle w:val="normaltextrun"/>
          <w:rFonts w:ascii="Calibri" w:eastAsiaTheme="majorEastAsia" w:hAnsi="Calibri" w:cs="Calibri"/>
          <w:b/>
          <w:bCs/>
          <w:sz w:val="22"/>
          <w:szCs w:val="22"/>
        </w:rPr>
      </w:pPr>
      <w:r w:rsidRPr="005A60E8">
        <w:rPr>
          <w:rStyle w:val="normaltextrun"/>
          <w:rFonts w:ascii="Calibri" w:eastAsiaTheme="majorEastAsia" w:hAnsi="Calibri" w:cs="Calibri"/>
          <w:b/>
          <w:bCs/>
          <w:sz w:val="22"/>
          <w:szCs w:val="22"/>
        </w:rPr>
        <w:t>Workforce System Customer Flowchart</w:t>
      </w:r>
    </w:p>
    <w:p w14:paraId="7B781FB5" w14:textId="52810F64" w:rsidR="00041639" w:rsidRPr="00041639" w:rsidRDefault="00041639" w:rsidP="00761E91">
      <w:pPr>
        <w:pStyle w:val="paragraph"/>
        <w:spacing w:before="0" w:beforeAutospacing="0" w:after="0" w:afterAutospacing="0" w:line="276" w:lineRule="auto"/>
        <w:textAlignment w:val="baseline"/>
        <w:rPr>
          <w:rFonts w:ascii="Calibri" w:hAnsi="Calibri" w:cs="Calibri"/>
          <w:sz w:val="22"/>
          <w:szCs w:val="22"/>
        </w:rPr>
      </w:pPr>
      <w:r w:rsidRPr="00041639">
        <w:rPr>
          <w:rStyle w:val="normaltextrun"/>
          <w:rFonts w:ascii="Calibri" w:eastAsiaTheme="majorEastAsia" w:hAnsi="Calibri" w:cs="Calibri"/>
          <w:sz w:val="22"/>
          <w:szCs w:val="22"/>
        </w:rPr>
        <w:t xml:space="preserve">The recommendations in this document are organized around the following general workforce system customer flowchart.  Actual </w:t>
      </w:r>
      <w:r>
        <w:rPr>
          <w:rStyle w:val="normaltextrun"/>
          <w:rFonts w:ascii="Calibri" w:eastAsiaTheme="majorEastAsia" w:hAnsi="Calibri" w:cs="Calibri"/>
          <w:sz w:val="22"/>
          <w:szCs w:val="22"/>
        </w:rPr>
        <w:t xml:space="preserve">customer experiences </w:t>
      </w:r>
      <w:r w:rsidRPr="00041639">
        <w:rPr>
          <w:rStyle w:val="normaltextrun"/>
          <w:rFonts w:ascii="Calibri" w:eastAsiaTheme="majorEastAsia" w:hAnsi="Calibri" w:cs="Calibri"/>
          <w:sz w:val="22"/>
          <w:szCs w:val="22"/>
        </w:rPr>
        <w:t xml:space="preserve">at </w:t>
      </w:r>
      <w:r>
        <w:rPr>
          <w:rStyle w:val="normaltextrun"/>
          <w:rFonts w:ascii="Calibri" w:eastAsiaTheme="majorEastAsia" w:hAnsi="Calibri" w:cs="Calibri"/>
          <w:sz w:val="22"/>
          <w:szCs w:val="22"/>
        </w:rPr>
        <w:t xml:space="preserve">IL </w:t>
      </w:r>
      <w:r w:rsidRPr="00041639">
        <w:rPr>
          <w:rStyle w:val="normaltextrun"/>
          <w:rFonts w:ascii="Calibri" w:eastAsiaTheme="majorEastAsia" w:hAnsi="Calibri" w:cs="Calibri"/>
          <w:sz w:val="22"/>
          <w:szCs w:val="22"/>
        </w:rPr>
        <w:t>American Job Center</w:t>
      </w:r>
      <w:r>
        <w:rPr>
          <w:rStyle w:val="normaltextrun"/>
          <w:rFonts w:ascii="Calibri" w:eastAsiaTheme="majorEastAsia" w:hAnsi="Calibri" w:cs="Calibri"/>
          <w:sz w:val="22"/>
          <w:szCs w:val="22"/>
        </w:rPr>
        <w:t xml:space="preserve">s (AJCs) vary by AJC and </w:t>
      </w:r>
      <w:r w:rsidRPr="00041639">
        <w:rPr>
          <w:rStyle w:val="normaltextrun"/>
          <w:rFonts w:ascii="Calibri" w:eastAsiaTheme="majorEastAsia" w:hAnsi="Calibri" w:cs="Calibri"/>
          <w:sz w:val="22"/>
          <w:szCs w:val="22"/>
        </w:rPr>
        <w:t xml:space="preserve">are </w:t>
      </w:r>
      <w:r>
        <w:rPr>
          <w:rStyle w:val="normaltextrun"/>
          <w:rFonts w:ascii="Calibri" w:eastAsiaTheme="majorEastAsia" w:hAnsi="Calibri" w:cs="Calibri"/>
          <w:sz w:val="22"/>
          <w:szCs w:val="22"/>
        </w:rPr>
        <w:t xml:space="preserve">usually </w:t>
      </w:r>
      <w:r w:rsidRPr="00041639">
        <w:rPr>
          <w:rStyle w:val="normaltextrun"/>
          <w:rFonts w:ascii="Calibri" w:eastAsiaTheme="majorEastAsia" w:hAnsi="Calibri" w:cs="Calibri"/>
          <w:sz w:val="22"/>
          <w:szCs w:val="22"/>
        </w:rPr>
        <w:t>more complex</w:t>
      </w:r>
      <w:r>
        <w:rPr>
          <w:rStyle w:val="normaltextrun"/>
          <w:rFonts w:ascii="Calibri" w:eastAsiaTheme="majorEastAsia" w:hAnsi="Calibri" w:cs="Calibri"/>
          <w:sz w:val="22"/>
          <w:szCs w:val="22"/>
        </w:rPr>
        <w:t>.  However, this is offered as a potential general structure for workgroup recommendations.</w:t>
      </w:r>
      <w:r w:rsidRPr="00041639">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For each element in the flowchart, the document notes barriers identified by the workgroup, the potential source of those barriers</w:t>
      </w:r>
      <w:r w:rsidR="0027718A">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if known, and potential workgroup recommendations.  </w:t>
      </w:r>
    </w:p>
    <w:tbl>
      <w:tblPr>
        <w:tblStyle w:val="TableGrid"/>
        <w:tblpPr w:leftFromText="180" w:rightFromText="180" w:vertAnchor="text" w:horzAnchor="margin" w:tblpY="1347"/>
        <w:tblW w:w="0" w:type="auto"/>
        <w:tblLook w:val="04A0" w:firstRow="1" w:lastRow="0" w:firstColumn="1" w:lastColumn="0" w:noHBand="0" w:noVBand="1"/>
      </w:tblPr>
      <w:tblGrid>
        <w:gridCol w:w="12950"/>
      </w:tblGrid>
      <w:tr w:rsidR="00D32359" w14:paraId="293D0A27" w14:textId="77777777" w:rsidTr="00D32359">
        <w:tc>
          <w:tcPr>
            <w:tcW w:w="12950" w:type="dxa"/>
            <w:shd w:val="clear" w:color="auto" w:fill="0070C0"/>
          </w:tcPr>
          <w:p w14:paraId="520F1F9F" w14:textId="7AD032FC" w:rsidR="00D32359" w:rsidRPr="00D32359" w:rsidRDefault="004A0407" w:rsidP="00D32359">
            <w:pPr>
              <w:pStyle w:val="paragraph"/>
              <w:spacing w:before="0" w:beforeAutospacing="0" w:after="0" w:afterAutospacing="0" w:line="276" w:lineRule="auto"/>
              <w:jc w:val="center"/>
              <w:textAlignment w:val="baseline"/>
              <w:rPr>
                <w:rFonts w:ascii="Calibri" w:hAnsi="Calibri" w:cs="Calibri"/>
                <w:b/>
                <w:bCs/>
                <w:color w:val="FFFFFF" w:themeColor="background1"/>
                <w:sz w:val="22"/>
                <w:szCs w:val="22"/>
              </w:rPr>
            </w:pPr>
            <w:r>
              <w:rPr>
                <w:rFonts w:ascii="Calibri" w:hAnsi="Calibri" w:cs="Calibri"/>
                <w:b/>
                <w:bCs/>
                <w:color w:val="FFFFFF" w:themeColor="background1"/>
                <w:sz w:val="22"/>
                <w:szCs w:val="22"/>
              </w:rPr>
              <w:t xml:space="preserve">Customer Experience is Impacted </w:t>
            </w:r>
            <w:r w:rsidR="005A60E8">
              <w:rPr>
                <w:rFonts w:ascii="Calibri" w:hAnsi="Calibri" w:cs="Calibri"/>
                <w:b/>
                <w:bCs/>
                <w:color w:val="FFFFFF" w:themeColor="background1"/>
                <w:sz w:val="22"/>
                <w:szCs w:val="22"/>
              </w:rPr>
              <w:t>b</w:t>
            </w:r>
            <w:r w:rsidR="005A60E8" w:rsidRPr="005A60E8">
              <w:rPr>
                <w:rFonts w:ascii="Calibri" w:hAnsi="Calibri" w:cs="Calibri"/>
                <w:b/>
                <w:bCs/>
                <w:color w:val="FFFFFF" w:themeColor="background1"/>
                <w:sz w:val="22"/>
                <w:szCs w:val="22"/>
              </w:rPr>
              <w:t xml:space="preserve">y </w:t>
            </w:r>
            <w:r w:rsidR="00D32359" w:rsidRPr="00D32359">
              <w:rPr>
                <w:rFonts w:ascii="Calibri" w:hAnsi="Calibri" w:cs="Calibri"/>
                <w:b/>
                <w:bCs/>
                <w:color w:val="FFFFFF" w:themeColor="background1"/>
                <w:sz w:val="22"/>
                <w:szCs w:val="22"/>
              </w:rPr>
              <w:t>Workforce System Structure and Governance</w:t>
            </w:r>
          </w:p>
        </w:tc>
      </w:tr>
    </w:tbl>
    <w:p w14:paraId="4D4E6D93" w14:textId="5051F694" w:rsidR="00761E91" w:rsidRDefault="00D32359">
      <w:r>
        <w:rPr>
          <w:noProof/>
        </w:rPr>
        <w:drawing>
          <wp:inline distT="0" distB="0" distL="0" distR="0" wp14:anchorId="432B3ED1" wp14:editId="4C6C854B">
            <wp:extent cx="8529320" cy="846161"/>
            <wp:effectExtent l="19050" t="0" r="508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6D5C50" w14:textId="5E9703B7" w:rsidR="00041639" w:rsidRDefault="00041639">
      <w:r>
        <w:br w:type="page"/>
      </w:r>
    </w:p>
    <w:tbl>
      <w:tblPr>
        <w:tblStyle w:val="TableGrid"/>
        <w:tblW w:w="0" w:type="auto"/>
        <w:tblLook w:val="04A0" w:firstRow="1" w:lastRow="0" w:firstColumn="1" w:lastColumn="0" w:noHBand="0" w:noVBand="1"/>
      </w:tblPr>
      <w:tblGrid>
        <w:gridCol w:w="715"/>
        <w:gridCol w:w="3060"/>
        <w:gridCol w:w="3237"/>
        <w:gridCol w:w="5673"/>
      </w:tblGrid>
      <w:tr w:rsidR="00E62CD5" w14:paraId="232DCDE2" w14:textId="77777777" w:rsidTr="00E62CD5">
        <w:trPr>
          <w:cantSplit/>
          <w:trHeight w:val="395"/>
          <w:tblHeader/>
        </w:trPr>
        <w:tc>
          <w:tcPr>
            <w:tcW w:w="715" w:type="dxa"/>
            <w:textDirection w:val="btLr"/>
          </w:tcPr>
          <w:p w14:paraId="4899041C" w14:textId="77777777" w:rsidR="00E62CD5" w:rsidRPr="004A0407" w:rsidRDefault="00E62CD5" w:rsidP="00E62CD5">
            <w:pPr>
              <w:ind w:left="113" w:right="113"/>
              <w:jc w:val="center"/>
              <w:rPr>
                <w:sz w:val="20"/>
                <w:szCs w:val="20"/>
              </w:rPr>
            </w:pPr>
          </w:p>
          <w:p w14:paraId="45063218" w14:textId="06AB79F0" w:rsidR="00E62CD5" w:rsidRPr="004A0407" w:rsidRDefault="00E62CD5" w:rsidP="00E62CD5">
            <w:pPr>
              <w:ind w:left="113" w:right="113"/>
              <w:jc w:val="center"/>
              <w:rPr>
                <w:sz w:val="20"/>
                <w:szCs w:val="20"/>
              </w:rPr>
            </w:pPr>
          </w:p>
        </w:tc>
        <w:tc>
          <w:tcPr>
            <w:tcW w:w="3060" w:type="dxa"/>
          </w:tcPr>
          <w:p w14:paraId="19BC9AD6" w14:textId="6C248480" w:rsidR="00E62CD5" w:rsidRPr="00E62CD5" w:rsidRDefault="00E62CD5" w:rsidP="00E62CD5">
            <w:pPr>
              <w:rPr>
                <w:b/>
                <w:bCs/>
                <w:sz w:val="20"/>
                <w:szCs w:val="20"/>
              </w:rPr>
            </w:pPr>
            <w:r w:rsidRPr="00E62CD5">
              <w:rPr>
                <w:b/>
                <w:bCs/>
                <w:sz w:val="20"/>
                <w:szCs w:val="20"/>
              </w:rPr>
              <w:t>Barrier</w:t>
            </w:r>
          </w:p>
        </w:tc>
        <w:tc>
          <w:tcPr>
            <w:tcW w:w="3237" w:type="dxa"/>
          </w:tcPr>
          <w:p w14:paraId="738CCE98" w14:textId="157EB424" w:rsidR="00E62CD5" w:rsidRPr="00E62CD5" w:rsidRDefault="00E62CD5" w:rsidP="00E62CD5">
            <w:pPr>
              <w:rPr>
                <w:b/>
                <w:bCs/>
                <w:sz w:val="20"/>
                <w:szCs w:val="20"/>
              </w:rPr>
            </w:pPr>
            <w:r w:rsidRPr="00E62CD5">
              <w:rPr>
                <w:b/>
                <w:bCs/>
                <w:sz w:val="20"/>
                <w:szCs w:val="20"/>
              </w:rPr>
              <w:t>Source</w:t>
            </w:r>
          </w:p>
        </w:tc>
        <w:tc>
          <w:tcPr>
            <w:tcW w:w="5673" w:type="dxa"/>
          </w:tcPr>
          <w:p w14:paraId="7BDE88AA" w14:textId="5B449B7C" w:rsidR="00E62CD5" w:rsidRPr="00E62CD5" w:rsidRDefault="00E62CD5" w:rsidP="00E62CD5">
            <w:pPr>
              <w:rPr>
                <w:b/>
                <w:bCs/>
                <w:sz w:val="20"/>
                <w:szCs w:val="20"/>
              </w:rPr>
            </w:pPr>
            <w:r w:rsidRPr="00E62CD5">
              <w:rPr>
                <w:b/>
                <w:bCs/>
                <w:sz w:val="20"/>
                <w:szCs w:val="20"/>
              </w:rPr>
              <w:t>Potential Recommendations</w:t>
            </w:r>
          </w:p>
        </w:tc>
      </w:tr>
      <w:tr w:rsidR="006425C1" w14:paraId="678D9A30" w14:textId="77777777" w:rsidTr="00E62CD5">
        <w:trPr>
          <w:cantSplit/>
          <w:trHeight w:val="1134"/>
          <w:tblHeader/>
        </w:trPr>
        <w:tc>
          <w:tcPr>
            <w:tcW w:w="715" w:type="dxa"/>
            <w:shd w:val="clear" w:color="auto" w:fill="0070C0"/>
            <w:textDirection w:val="btLr"/>
          </w:tcPr>
          <w:p w14:paraId="2F400EC6" w14:textId="747513B5" w:rsidR="006425C1" w:rsidRPr="004A0407" w:rsidRDefault="0027718A" w:rsidP="005A60E8">
            <w:pPr>
              <w:ind w:left="113" w:right="113"/>
              <w:jc w:val="center"/>
              <w:rPr>
                <w:color w:val="FFFFFF" w:themeColor="background1"/>
                <w:sz w:val="20"/>
                <w:szCs w:val="20"/>
              </w:rPr>
            </w:pPr>
            <w:r>
              <w:rPr>
                <w:color w:val="FFFFFF" w:themeColor="background1"/>
                <w:sz w:val="20"/>
                <w:szCs w:val="20"/>
              </w:rPr>
              <w:t>S</w:t>
            </w:r>
            <w:r w:rsidR="006425C1" w:rsidRPr="004A0407">
              <w:rPr>
                <w:color w:val="FFFFFF" w:themeColor="background1"/>
                <w:sz w:val="20"/>
                <w:szCs w:val="20"/>
              </w:rPr>
              <w:t>ystem Structure</w:t>
            </w:r>
            <w:r w:rsidR="000B25F9" w:rsidRPr="004A0407">
              <w:rPr>
                <w:color w:val="FFFFFF" w:themeColor="background1"/>
                <w:sz w:val="20"/>
                <w:szCs w:val="20"/>
              </w:rPr>
              <w:t xml:space="preserve"> and Governance</w:t>
            </w:r>
          </w:p>
        </w:tc>
        <w:tc>
          <w:tcPr>
            <w:tcW w:w="3060" w:type="dxa"/>
            <w:shd w:val="clear" w:color="auto" w:fill="C1E4FF"/>
          </w:tcPr>
          <w:p w14:paraId="47839A32" w14:textId="5F2D0BD7" w:rsidR="000B25F9" w:rsidRPr="004A0407" w:rsidRDefault="000B25F9" w:rsidP="006425C1">
            <w:pPr>
              <w:rPr>
                <w:sz w:val="20"/>
                <w:szCs w:val="20"/>
              </w:rPr>
            </w:pPr>
            <w:r w:rsidRPr="004A0407">
              <w:rPr>
                <w:sz w:val="20"/>
                <w:szCs w:val="20"/>
              </w:rPr>
              <w:t xml:space="preserve">The voices and experiences of workforce system customers may not be centered in decisions impacting the </w:t>
            </w:r>
            <w:r w:rsidR="005A60E8" w:rsidRPr="004A0407">
              <w:rPr>
                <w:sz w:val="20"/>
                <w:szCs w:val="20"/>
              </w:rPr>
              <w:t xml:space="preserve">design </w:t>
            </w:r>
            <w:r w:rsidRPr="004A0407">
              <w:rPr>
                <w:sz w:val="20"/>
                <w:szCs w:val="20"/>
              </w:rPr>
              <w:t>quality of workforce system services.</w:t>
            </w:r>
          </w:p>
        </w:tc>
        <w:tc>
          <w:tcPr>
            <w:tcW w:w="3237" w:type="dxa"/>
            <w:shd w:val="clear" w:color="auto" w:fill="C1E4FF"/>
          </w:tcPr>
          <w:p w14:paraId="23483839" w14:textId="77777777" w:rsidR="006425C1" w:rsidRPr="004A0407" w:rsidRDefault="006425C1" w:rsidP="006425C1">
            <w:pPr>
              <w:rPr>
                <w:sz w:val="20"/>
                <w:szCs w:val="20"/>
              </w:rPr>
            </w:pPr>
            <w:r w:rsidRPr="004A0407">
              <w:rPr>
                <w:sz w:val="20"/>
                <w:szCs w:val="20"/>
              </w:rPr>
              <w:t>State procurement policies and procurement design</w:t>
            </w:r>
          </w:p>
          <w:p w14:paraId="6A6F482D" w14:textId="77777777" w:rsidR="000B25F9" w:rsidRPr="004A0407" w:rsidRDefault="000B25F9" w:rsidP="006425C1">
            <w:pPr>
              <w:rPr>
                <w:sz w:val="20"/>
                <w:szCs w:val="20"/>
              </w:rPr>
            </w:pPr>
          </w:p>
          <w:p w14:paraId="4A1F7DBB" w14:textId="77777777" w:rsidR="000B25F9" w:rsidRPr="004A0407" w:rsidRDefault="000B25F9" w:rsidP="006425C1">
            <w:pPr>
              <w:rPr>
                <w:sz w:val="20"/>
                <w:szCs w:val="20"/>
              </w:rPr>
            </w:pPr>
            <w:r w:rsidRPr="004A0407">
              <w:rPr>
                <w:sz w:val="20"/>
                <w:szCs w:val="20"/>
              </w:rPr>
              <w:t>State and regional staffing and board membership policies</w:t>
            </w:r>
          </w:p>
          <w:p w14:paraId="40B2137F" w14:textId="77777777" w:rsidR="005A60E8" w:rsidRPr="004A0407" w:rsidRDefault="005A60E8" w:rsidP="006425C1">
            <w:pPr>
              <w:rPr>
                <w:sz w:val="20"/>
                <w:szCs w:val="20"/>
              </w:rPr>
            </w:pPr>
          </w:p>
          <w:p w14:paraId="1EBF48F5" w14:textId="25AF38E5" w:rsidR="005A60E8" w:rsidRPr="004A0407" w:rsidRDefault="005A60E8" w:rsidP="006425C1">
            <w:pPr>
              <w:rPr>
                <w:sz w:val="20"/>
                <w:szCs w:val="20"/>
              </w:rPr>
            </w:pPr>
            <w:r w:rsidRPr="004A0407">
              <w:rPr>
                <w:sz w:val="20"/>
                <w:szCs w:val="20"/>
              </w:rPr>
              <w:t>State and regional policy and program development processes</w:t>
            </w:r>
          </w:p>
        </w:tc>
        <w:tc>
          <w:tcPr>
            <w:tcW w:w="5673" w:type="dxa"/>
            <w:shd w:val="clear" w:color="auto" w:fill="C1E4FF"/>
          </w:tcPr>
          <w:p w14:paraId="78C75BB6" w14:textId="142A3D4A" w:rsidR="006425C1" w:rsidRPr="004A0407" w:rsidRDefault="006425C1" w:rsidP="006425C1">
            <w:pPr>
              <w:rPr>
                <w:sz w:val="20"/>
                <w:szCs w:val="20"/>
              </w:rPr>
            </w:pPr>
            <w:r w:rsidRPr="004A0407">
              <w:rPr>
                <w:sz w:val="20"/>
                <w:szCs w:val="20"/>
              </w:rPr>
              <w:t>Examine recipients of competitively awarded</w:t>
            </w:r>
            <w:r w:rsidR="0027718A">
              <w:rPr>
                <w:sz w:val="20"/>
                <w:szCs w:val="20"/>
              </w:rPr>
              <w:t xml:space="preserve"> Workforce Investment and Opportunity Act</w:t>
            </w:r>
            <w:r w:rsidRPr="004A0407">
              <w:rPr>
                <w:sz w:val="20"/>
                <w:szCs w:val="20"/>
              </w:rPr>
              <w:t xml:space="preserve"> </w:t>
            </w:r>
            <w:r w:rsidR="0027718A">
              <w:rPr>
                <w:sz w:val="20"/>
                <w:szCs w:val="20"/>
              </w:rPr>
              <w:t>(</w:t>
            </w:r>
            <w:r w:rsidRPr="004A0407">
              <w:rPr>
                <w:sz w:val="20"/>
                <w:szCs w:val="20"/>
              </w:rPr>
              <w:t>WIOA</w:t>
            </w:r>
            <w:r w:rsidR="0027718A">
              <w:rPr>
                <w:sz w:val="20"/>
                <w:szCs w:val="20"/>
              </w:rPr>
              <w:t>)</w:t>
            </w:r>
            <w:r w:rsidRPr="004A0407">
              <w:rPr>
                <w:sz w:val="20"/>
                <w:szCs w:val="20"/>
              </w:rPr>
              <w:t xml:space="preserve"> funding to understand the extent to which there is currently an equitable investment of funds.  Adopt policies to ensure equitable fund disbursement going forward.</w:t>
            </w:r>
          </w:p>
          <w:p w14:paraId="131644EA" w14:textId="77777777" w:rsidR="006425C1" w:rsidRPr="004A0407" w:rsidRDefault="006425C1" w:rsidP="006425C1">
            <w:pPr>
              <w:pStyle w:val="ListParagraph"/>
              <w:numPr>
                <w:ilvl w:val="0"/>
                <w:numId w:val="5"/>
              </w:numPr>
              <w:rPr>
                <w:sz w:val="20"/>
                <w:szCs w:val="20"/>
              </w:rPr>
            </w:pPr>
            <w:r w:rsidRPr="004A0407">
              <w:rPr>
                <w:sz w:val="20"/>
                <w:szCs w:val="20"/>
              </w:rPr>
              <w:t>Governor’s set aside funding</w:t>
            </w:r>
          </w:p>
          <w:p w14:paraId="585E78C8" w14:textId="77777777" w:rsidR="006425C1" w:rsidRPr="004A0407" w:rsidRDefault="006425C1" w:rsidP="006425C1">
            <w:pPr>
              <w:pStyle w:val="ListParagraph"/>
              <w:numPr>
                <w:ilvl w:val="0"/>
                <w:numId w:val="5"/>
              </w:numPr>
              <w:rPr>
                <w:sz w:val="20"/>
                <w:szCs w:val="20"/>
              </w:rPr>
            </w:pPr>
            <w:r w:rsidRPr="004A0407">
              <w:rPr>
                <w:sz w:val="20"/>
                <w:szCs w:val="20"/>
              </w:rPr>
              <w:t>Competitive grants</w:t>
            </w:r>
          </w:p>
          <w:p w14:paraId="3B4C7E34" w14:textId="1C6E3E9F" w:rsidR="006425C1" w:rsidRPr="004A0407" w:rsidRDefault="006425C1" w:rsidP="006425C1">
            <w:pPr>
              <w:pStyle w:val="ListParagraph"/>
              <w:numPr>
                <w:ilvl w:val="0"/>
                <w:numId w:val="5"/>
              </w:numPr>
              <w:rPr>
                <w:sz w:val="20"/>
                <w:szCs w:val="20"/>
              </w:rPr>
            </w:pPr>
            <w:r w:rsidRPr="004A0407">
              <w:rPr>
                <w:sz w:val="20"/>
                <w:szCs w:val="20"/>
              </w:rPr>
              <w:t>AJC competitions</w:t>
            </w:r>
          </w:p>
          <w:p w14:paraId="4C65181A" w14:textId="77777777" w:rsidR="000B25F9" w:rsidRPr="004A0407" w:rsidRDefault="000B25F9" w:rsidP="000B25F9">
            <w:pPr>
              <w:pStyle w:val="ListParagraph"/>
              <w:rPr>
                <w:sz w:val="20"/>
                <w:szCs w:val="20"/>
              </w:rPr>
            </w:pPr>
          </w:p>
          <w:p w14:paraId="6D351FDA" w14:textId="11FCF15C" w:rsidR="006425C1" w:rsidRPr="004A0407" w:rsidRDefault="005A60E8" w:rsidP="006425C1">
            <w:pPr>
              <w:spacing w:line="276" w:lineRule="auto"/>
              <w:rPr>
                <w:sz w:val="20"/>
                <w:szCs w:val="20"/>
              </w:rPr>
            </w:pPr>
            <w:r w:rsidRPr="004A0407">
              <w:rPr>
                <w:sz w:val="20"/>
                <w:szCs w:val="20"/>
              </w:rPr>
              <w:t>Issue guidance emphasizing the importance of hiring/nominating w</w:t>
            </w:r>
            <w:r w:rsidR="000B25F9" w:rsidRPr="004A0407">
              <w:rPr>
                <w:sz w:val="20"/>
                <w:szCs w:val="20"/>
              </w:rPr>
              <w:t xml:space="preserve">orkforce system leaders, board members, and staff </w:t>
            </w:r>
            <w:r w:rsidRPr="004A0407">
              <w:rPr>
                <w:sz w:val="20"/>
                <w:szCs w:val="20"/>
              </w:rPr>
              <w:t xml:space="preserve">that </w:t>
            </w:r>
            <w:r w:rsidR="000B25F9" w:rsidRPr="004A0407">
              <w:rPr>
                <w:sz w:val="20"/>
                <w:szCs w:val="20"/>
              </w:rPr>
              <w:t>reflect the diversity of the populations</w:t>
            </w:r>
            <w:r w:rsidRPr="004A0407">
              <w:rPr>
                <w:sz w:val="20"/>
                <w:szCs w:val="20"/>
              </w:rPr>
              <w:t>.  Recognize governing bodies and AJCs that achieve this goal.</w:t>
            </w:r>
          </w:p>
          <w:p w14:paraId="59239702" w14:textId="77777777" w:rsidR="000B25F9" w:rsidRPr="004A0407" w:rsidRDefault="000B25F9" w:rsidP="006425C1">
            <w:pPr>
              <w:spacing w:line="276" w:lineRule="auto"/>
              <w:rPr>
                <w:sz w:val="20"/>
                <w:szCs w:val="20"/>
              </w:rPr>
            </w:pPr>
          </w:p>
          <w:p w14:paraId="50D9F3C0" w14:textId="3D44B63B" w:rsidR="000B25F9" w:rsidRPr="004A0407" w:rsidRDefault="000B25F9" w:rsidP="005A60E8">
            <w:pPr>
              <w:spacing w:line="276" w:lineRule="auto"/>
              <w:rPr>
                <w:sz w:val="20"/>
                <w:szCs w:val="20"/>
              </w:rPr>
            </w:pPr>
            <w:r w:rsidRPr="004A0407">
              <w:rPr>
                <w:sz w:val="20"/>
                <w:szCs w:val="20"/>
              </w:rPr>
              <w:t>Ensure that equity is a key consideration in the development of new IWIB policies, programs, and budgets</w:t>
            </w:r>
            <w:r w:rsidR="005A60E8" w:rsidRPr="004A0407">
              <w:rPr>
                <w:sz w:val="20"/>
                <w:szCs w:val="20"/>
              </w:rPr>
              <w:t xml:space="preserve"> by requiring policy committees to use </w:t>
            </w:r>
            <w:hyperlink r:id="rId13" w:history="1">
              <w:r w:rsidRPr="004A0407">
                <w:rPr>
                  <w:rStyle w:val="Hyperlink"/>
                  <w:sz w:val="20"/>
                  <w:szCs w:val="20"/>
                </w:rPr>
                <w:t>an equity tool</w:t>
              </w:r>
            </w:hyperlink>
            <w:r w:rsidRPr="004A0407">
              <w:rPr>
                <w:sz w:val="20"/>
                <w:szCs w:val="20"/>
              </w:rPr>
              <w:t xml:space="preserve"> for analyzing policies and programs through an equity lens. </w:t>
            </w:r>
          </w:p>
          <w:p w14:paraId="7A176348" w14:textId="43C2DE32" w:rsidR="00016A2D" w:rsidRPr="004A0407" w:rsidRDefault="00016A2D" w:rsidP="00016A2D">
            <w:pPr>
              <w:spacing w:line="276" w:lineRule="auto"/>
              <w:rPr>
                <w:sz w:val="20"/>
                <w:szCs w:val="20"/>
              </w:rPr>
            </w:pPr>
          </w:p>
          <w:p w14:paraId="25D2EC8C" w14:textId="5F581453" w:rsidR="00016A2D" w:rsidRPr="004A0407" w:rsidRDefault="00016A2D" w:rsidP="00016A2D">
            <w:pPr>
              <w:spacing w:line="276" w:lineRule="auto"/>
              <w:rPr>
                <w:sz w:val="20"/>
                <w:szCs w:val="20"/>
              </w:rPr>
            </w:pPr>
            <w:r w:rsidRPr="004A0407">
              <w:rPr>
                <w:sz w:val="20"/>
                <w:szCs w:val="20"/>
              </w:rPr>
              <w:t>Make disaggregated data available to all local workforce areas</w:t>
            </w:r>
            <w:r w:rsidR="005A60E8" w:rsidRPr="004A0407">
              <w:rPr>
                <w:sz w:val="20"/>
                <w:szCs w:val="20"/>
              </w:rPr>
              <w:t>, provide training on how to interpret it,</w:t>
            </w:r>
            <w:r w:rsidRPr="004A0407">
              <w:rPr>
                <w:sz w:val="20"/>
                <w:szCs w:val="20"/>
              </w:rPr>
              <w:t xml:space="preserve"> and encourage </w:t>
            </w:r>
            <w:r w:rsidR="0027718A">
              <w:rPr>
                <w:sz w:val="20"/>
                <w:szCs w:val="20"/>
              </w:rPr>
              <w:t>policy committees</w:t>
            </w:r>
            <w:r w:rsidR="0027718A" w:rsidRPr="004A0407">
              <w:rPr>
                <w:sz w:val="20"/>
                <w:szCs w:val="20"/>
              </w:rPr>
              <w:t xml:space="preserve"> </w:t>
            </w:r>
            <w:r w:rsidRPr="004A0407">
              <w:rPr>
                <w:sz w:val="20"/>
                <w:szCs w:val="20"/>
              </w:rPr>
              <w:t>to set equity goals that reflect the unique needs of their area.</w:t>
            </w:r>
            <w:r w:rsidR="002D4E30">
              <w:rPr>
                <w:rStyle w:val="FootnoteReference"/>
                <w:sz w:val="20"/>
                <w:szCs w:val="20"/>
              </w:rPr>
              <w:footnoteReference w:id="1"/>
            </w:r>
          </w:p>
          <w:p w14:paraId="6DF076D9" w14:textId="3D0C6728" w:rsidR="00016A2D" w:rsidRPr="004A0407" w:rsidRDefault="00016A2D" w:rsidP="00016A2D">
            <w:pPr>
              <w:spacing w:line="276" w:lineRule="auto"/>
              <w:rPr>
                <w:sz w:val="20"/>
                <w:szCs w:val="20"/>
              </w:rPr>
            </w:pPr>
          </w:p>
          <w:p w14:paraId="1FDE3AFB" w14:textId="693EBB36" w:rsidR="00016A2D" w:rsidRPr="004A0407" w:rsidRDefault="00016A2D" w:rsidP="00016A2D">
            <w:pPr>
              <w:spacing w:line="276" w:lineRule="auto"/>
              <w:rPr>
                <w:sz w:val="20"/>
                <w:szCs w:val="20"/>
              </w:rPr>
            </w:pPr>
            <w:r w:rsidRPr="004A0407">
              <w:rPr>
                <w:sz w:val="20"/>
                <w:szCs w:val="20"/>
              </w:rPr>
              <w:t xml:space="preserve">Create conditions where workforce leaders and staff can </w:t>
            </w:r>
            <w:hyperlink r:id="rId14" w:history="1">
              <w:r w:rsidRPr="004A0407">
                <w:rPr>
                  <w:rStyle w:val="Hyperlink"/>
                  <w:sz w:val="20"/>
                  <w:szCs w:val="20"/>
                </w:rPr>
                <w:t>acknowledge</w:t>
              </w:r>
            </w:hyperlink>
            <w:r w:rsidRPr="004A0407">
              <w:rPr>
                <w:sz w:val="20"/>
                <w:szCs w:val="20"/>
              </w:rPr>
              <w:t> and </w:t>
            </w:r>
            <w:hyperlink r:id="rId15" w:history="1">
              <w:r w:rsidRPr="004A0407">
                <w:rPr>
                  <w:rStyle w:val="Hyperlink"/>
                  <w:sz w:val="20"/>
                  <w:szCs w:val="20"/>
                </w:rPr>
                <w:t>challenge</w:t>
              </w:r>
            </w:hyperlink>
            <w:r w:rsidRPr="004A0407">
              <w:rPr>
                <w:sz w:val="20"/>
                <w:szCs w:val="20"/>
              </w:rPr>
              <w:t> their own implicit bias and understand the structural barriers impacting customers</w:t>
            </w:r>
            <w:r w:rsidR="002D4E30">
              <w:rPr>
                <w:rStyle w:val="FootnoteReference"/>
                <w:sz w:val="20"/>
                <w:szCs w:val="20"/>
              </w:rPr>
              <w:footnoteReference w:id="2"/>
            </w:r>
          </w:p>
          <w:p w14:paraId="543E998D" w14:textId="00958B7F" w:rsidR="00016A2D" w:rsidRPr="004A0407" w:rsidRDefault="00016A2D" w:rsidP="00016A2D">
            <w:pPr>
              <w:spacing w:line="276" w:lineRule="auto"/>
              <w:rPr>
                <w:sz w:val="20"/>
                <w:szCs w:val="20"/>
              </w:rPr>
            </w:pPr>
          </w:p>
          <w:p w14:paraId="2B5E9BD9" w14:textId="03BF4788" w:rsidR="000B25F9" w:rsidRPr="004A0407" w:rsidRDefault="005A60E8" w:rsidP="005A60E8">
            <w:pPr>
              <w:spacing w:line="276" w:lineRule="auto"/>
              <w:rPr>
                <w:sz w:val="20"/>
                <w:szCs w:val="20"/>
              </w:rPr>
            </w:pPr>
            <w:r w:rsidRPr="004A0407">
              <w:rPr>
                <w:sz w:val="20"/>
                <w:szCs w:val="20"/>
              </w:rPr>
              <w:t>Encourage local workforce boards to i</w:t>
            </w:r>
            <w:r w:rsidR="00016A2D" w:rsidRPr="00016A2D">
              <w:rPr>
                <w:sz w:val="20"/>
                <w:szCs w:val="20"/>
              </w:rPr>
              <w:t>nclud</w:t>
            </w:r>
            <w:r w:rsidRPr="004A0407">
              <w:rPr>
                <w:sz w:val="20"/>
                <w:szCs w:val="20"/>
              </w:rPr>
              <w:t>e</w:t>
            </w:r>
            <w:r w:rsidR="00016A2D" w:rsidRPr="00016A2D">
              <w:rPr>
                <w:sz w:val="20"/>
                <w:szCs w:val="20"/>
              </w:rPr>
              <w:t xml:space="preserve"> input of impacted groups in decisions about the design and delivery of employment programming and policies guiding local workforce systems</w:t>
            </w:r>
            <w:r w:rsidRPr="004A0407">
              <w:rPr>
                <w:sz w:val="20"/>
                <w:szCs w:val="20"/>
              </w:rPr>
              <w:t>.</w:t>
            </w:r>
            <w:r w:rsidR="002D4E30">
              <w:rPr>
                <w:rStyle w:val="FootnoteReference"/>
                <w:sz w:val="20"/>
                <w:szCs w:val="20"/>
              </w:rPr>
              <w:footnoteReference w:id="3"/>
            </w:r>
            <w:r w:rsidR="00016A2D" w:rsidRPr="00016A2D">
              <w:rPr>
                <w:sz w:val="20"/>
                <w:szCs w:val="20"/>
              </w:rPr>
              <w:t xml:space="preserve"> </w:t>
            </w:r>
          </w:p>
        </w:tc>
      </w:tr>
    </w:tbl>
    <w:p w14:paraId="5F074345" w14:textId="524745C0" w:rsidR="000B25F9" w:rsidRDefault="000B25F9"/>
    <w:tbl>
      <w:tblPr>
        <w:tblStyle w:val="TableGrid"/>
        <w:tblW w:w="0" w:type="auto"/>
        <w:tblLook w:val="04A0" w:firstRow="1" w:lastRow="0" w:firstColumn="1" w:lastColumn="0" w:noHBand="0" w:noVBand="1"/>
      </w:tblPr>
      <w:tblGrid>
        <w:gridCol w:w="715"/>
        <w:gridCol w:w="3060"/>
        <w:gridCol w:w="3237"/>
        <w:gridCol w:w="5673"/>
      </w:tblGrid>
      <w:tr w:rsidR="000B25F9" w14:paraId="5B24A255" w14:textId="77777777" w:rsidTr="00CA4B8A">
        <w:trPr>
          <w:cantSplit/>
          <w:trHeight w:val="350"/>
        </w:trPr>
        <w:tc>
          <w:tcPr>
            <w:tcW w:w="12685" w:type="dxa"/>
            <w:gridSpan w:val="4"/>
          </w:tcPr>
          <w:p w14:paraId="74BB93DE" w14:textId="79D4427A" w:rsidR="000B25F9" w:rsidRPr="00CF16D6" w:rsidRDefault="000B25F9" w:rsidP="000B25F9">
            <w:pPr>
              <w:jc w:val="center"/>
              <w:rPr>
                <w:b/>
                <w:bCs/>
              </w:rPr>
            </w:pPr>
            <w:r w:rsidRPr="00CF16D6">
              <w:rPr>
                <w:b/>
                <w:bCs/>
              </w:rPr>
              <w:t>Workforce System Customer Flow</w:t>
            </w:r>
          </w:p>
        </w:tc>
      </w:tr>
      <w:tr w:rsidR="00E62CD5" w14:paraId="50E825F8" w14:textId="77777777" w:rsidTr="00E62CD5">
        <w:trPr>
          <w:cantSplit/>
          <w:trHeight w:val="350"/>
        </w:trPr>
        <w:tc>
          <w:tcPr>
            <w:tcW w:w="715" w:type="dxa"/>
            <w:shd w:val="clear" w:color="auto" w:fill="FFFFFF" w:themeFill="background1"/>
            <w:textDirection w:val="btLr"/>
          </w:tcPr>
          <w:p w14:paraId="0BDC6E45" w14:textId="77777777" w:rsidR="00E62CD5" w:rsidRPr="004A0407" w:rsidRDefault="00E62CD5" w:rsidP="00E62CD5">
            <w:pPr>
              <w:ind w:left="113" w:right="113"/>
              <w:jc w:val="center"/>
              <w:rPr>
                <w:sz w:val="20"/>
                <w:szCs w:val="20"/>
              </w:rPr>
            </w:pPr>
          </w:p>
          <w:p w14:paraId="4D8D4377" w14:textId="77777777" w:rsidR="00E62CD5" w:rsidRDefault="00E62CD5" w:rsidP="00E62CD5">
            <w:pPr>
              <w:ind w:left="113" w:right="113"/>
              <w:jc w:val="center"/>
            </w:pPr>
          </w:p>
        </w:tc>
        <w:tc>
          <w:tcPr>
            <w:tcW w:w="3060" w:type="dxa"/>
            <w:shd w:val="clear" w:color="auto" w:fill="FFFFFF" w:themeFill="background1"/>
          </w:tcPr>
          <w:p w14:paraId="3F621C40" w14:textId="227F0664" w:rsidR="00E62CD5" w:rsidRDefault="00E62CD5" w:rsidP="00E62CD5">
            <w:r w:rsidRPr="00E62CD5">
              <w:rPr>
                <w:b/>
                <w:bCs/>
                <w:sz w:val="20"/>
                <w:szCs w:val="20"/>
              </w:rPr>
              <w:t>Barrier</w:t>
            </w:r>
          </w:p>
        </w:tc>
        <w:tc>
          <w:tcPr>
            <w:tcW w:w="3237" w:type="dxa"/>
            <w:shd w:val="clear" w:color="auto" w:fill="FFFFFF" w:themeFill="background1"/>
          </w:tcPr>
          <w:p w14:paraId="31E28BEE" w14:textId="7E24DC14" w:rsidR="00E62CD5" w:rsidRDefault="00E62CD5" w:rsidP="00E62CD5">
            <w:r w:rsidRPr="00E62CD5">
              <w:rPr>
                <w:b/>
                <w:bCs/>
                <w:sz w:val="20"/>
                <w:szCs w:val="20"/>
              </w:rPr>
              <w:t>Source</w:t>
            </w:r>
          </w:p>
        </w:tc>
        <w:tc>
          <w:tcPr>
            <w:tcW w:w="5673" w:type="dxa"/>
            <w:shd w:val="clear" w:color="auto" w:fill="FFFFFF" w:themeFill="background1"/>
          </w:tcPr>
          <w:p w14:paraId="5B1F0AA4" w14:textId="671BDC7B" w:rsidR="00E62CD5" w:rsidRDefault="00E62CD5" w:rsidP="00E62CD5">
            <w:r w:rsidRPr="00E62CD5">
              <w:rPr>
                <w:b/>
                <w:bCs/>
                <w:sz w:val="20"/>
                <w:szCs w:val="20"/>
              </w:rPr>
              <w:t>Potential Recommendations</w:t>
            </w:r>
          </w:p>
        </w:tc>
      </w:tr>
      <w:tr w:rsidR="00E62CD5" w14:paraId="7988FB50" w14:textId="77777777" w:rsidTr="00CF16D6">
        <w:trPr>
          <w:cantSplit/>
          <w:trHeight w:val="7010"/>
        </w:trPr>
        <w:tc>
          <w:tcPr>
            <w:tcW w:w="715" w:type="dxa"/>
            <w:shd w:val="clear" w:color="auto" w:fill="ED7D31"/>
            <w:textDirection w:val="btLr"/>
          </w:tcPr>
          <w:p w14:paraId="1F2F3217" w14:textId="10472BD3" w:rsidR="00E62CD5" w:rsidRDefault="00E62CD5" w:rsidP="00E62CD5">
            <w:pPr>
              <w:ind w:left="113" w:right="113"/>
              <w:jc w:val="center"/>
            </w:pPr>
            <w:r>
              <w:t>Recruitment</w:t>
            </w:r>
          </w:p>
        </w:tc>
        <w:tc>
          <w:tcPr>
            <w:tcW w:w="3060" w:type="dxa"/>
            <w:shd w:val="clear" w:color="auto" w:fill="F8CEB2"/>
          </w:tcPr>
          <w:p w14:paraId="06B3D031" w14:textId="147959CA" w:rsidR="00E62CD5" w:rsidRDefault="00E62CD5" w:rsidP="00E62CD5">
            <w:r>
              <w:t>Transition to virtual services has limited the number of people walking into AJCs, increasing the importance of intentional recruitment strategies for target populations.</w:t>
            </w:r>
          </w:p>
          <w:p w14:paraId="2071D0F0" w14:textId="77777777" w:rsidR="00E62CD5" w:rsidRDefault="00E62CD5" w:rsidP="00E62CD5"/>
          <w:p w14:paraId="6B3BF097" w14:textId="24B2A645" w:rsidR="00E62CD5" w:rsidRDefault="00E62CD5" w:rsidP="00E62CD5">
            <w:r>
              <w:t xml:space="preserve">WIOA </w:t>
            </w:r>
            <w:r>
              <w:t xml:space="preserve">performance metrics incentivize providers to serve job seekers with better employment prospects and facing the fewest barriers to success, </w:t>
            </w:r>
            <w:r>
              <w:t>making it difficult for</w:t>
            </w:r>
            <w:r>
              <w:t xml:space="preserve"> those with the greatest need for workforce programs</w:t>
            </w:r>
            <w:r>
              <w:t xml:space="preserve"> to access them</w:t>
            </w:r>
            <w:r>
              <w:t>.</w:t>
            </w:r>
          </w:p>
          <w:p w14:paraId="70A17092" w14:textId="77777777" w:rsidR="00E62CD5" w:rsidRDefault="00E62CD5" w:rsidP="00E62CD5"/>
        </w:tc>
        <w:tc>
          <w:tcPr>
            <w:tcW w:w="3237" w:type="dxa"/>
            <w:shd w:val="clear" w:color="auto" w:fill="F8CEB2"/>
          </w:tcPr>
          <w:p w14:paraId="7C689788" w14:textId="77777777" w:rsidR="00E62CD5" w:rsidRDefault="00E62CD5" w:rsidP="00E62CD5"/>
        </w:tc>
        <w:tc>
          <w:tcPr>
            <w:tcW w:w="5673" w:type="dxa"/>
            <w:shd w:val="clear" w:color="auto" w:fill="F8CEB2"/>
          </w:tcPr>
          <w:p w14:paraId="1AD057CF" w14:textId="77777777" w:rsidR="00E62CD5" w:rsidRDefault="00E62CD5" w:rsidP="00E62CD5"/>
          <w:p w14:paraId="3DE008C1" w14:textId="40986E6A" w:rsidR="00E62CD5" w:rsidRDefault="00E62CD5" w:rsidP="00E62CD5">
            <w:r>
              <w:t xml:space="preserve">Provide training to local workforce areas on effective outreach and recruitment strategies.  Recognize local workforce areas that are effective in this work.  </w:t>
            </w:r>
          </w:p>
          <w:p w14:paraId="1D8A30EA" w14:textId="77777777" w:rsidR="00E62CD5" w:rsidRDefault="00E62CD5" w:rsidP="00E62CD5"/>
          <w:p w14:paraId="1916EF82" w14:textId="77777777" w:rsidR="00E62CD5" w:rsidRDefault="00E62CD5" w:rsidP="00E62CD5"/>
          <w:p w14:paraId="1BC65944" w14:textId="3938EBE3" w:rsidR="000B25F9" w:rsidRPr="000B25F9" w:rsidRDefault="000B25F9" w:rsidP="00E62CD5">
            <w:r w:rsidRPr="000B25F9">
              <w:t xml:space="preserve">Take advantage of WIOA performance policy to focus services on </w:t>
            </w:r>
            <w:hyperlink r:id="rId16" w:history="1">
              <w:r w:rsidRPr="000B25F9">
                <w:rPr>
                  <w:rStyle w:val="Hyperlink"/>
                </w:rPr>
                <w:t>individuals with barriers to employment</w:t>
              </w:r>
            </w:hyperlink>
            <w:r w:rsidR="00E62CD5">
              <w:rPr>
                <w:rStyle w:val="FootnoteReference"/>
              </w:rPr>
              <w:footnoteReference w:id="4"/>
            </w:r>
          </w:p>
          <w:p w14:paraId="538A3E68" w14:textId="77777777" w:rsidR="00E62CD5" w:rsidRDefault="00E62CD5" w:rsidP="00E62CD5"/>
        </w:tc>
      </w:tr>
      <w:tr w:rsidR="00E62CD5" w14:paraId="66289C1A" w14:textId="77777777" w:rsidTr="006B4D7D">
        <w:trPr>
          <w:cantSplit/>
          <w:trHeight w:val="350"/>
        </w:trPr>
        <w:tc>
          <w:tcPr>
            <w:tcW w:w="715" w:type="dxa"/>
            <w:shd w:val="clear" w:color="auto" w:fill="FFFFFF" w:themeFill="background1"/>
            <w:textDirection w:val="btLr"/>
          </w:tcPr>
          <w:p w14:paraId="1D1492CA" w14:textId="77777777" w:rsidR="00E62CD5" w:rsidRPr="004A0407" w:rsidRDefault="00E62CD5" w:rsidP="00E62CD5">
            <w:pPr>
              <w:ind w:left="113" w:right="113"/>
              <w:jc w:val="center"/>
              <w:rPr>
                <w:sz w:val="20"/>
                <w:szCs w:val="20"/>
              </w:rPr>
            </w:pPr>
          </w:p>
          <w:p w14:paraId="23FEB54D" w14:textId="77777777" w:rsidR="00E62CD5" w:rsidRDefault="00E62CD5" w:rsidP="00E62CD5">
            <w:pPr>
              <w:ind w:left="113" w:right="113"/>
              <w:jc w:val="center"/>
            </w:pPr>
          </w:p>
        </w:tc>
        <w:tc>
          <w:tcPr>
            <w:tcW w:w="3060" w:type="dxa"/>
            <w:shd w:val="clear" w:color="auto" w:fill="FFFFFF" w:themeFill="background1"/>
          </w:tcPr>
          <w:p w14:paraId="7D7E1047" w14:textId="39502374" w:rsidR="00E62CD5" w:rsidRDefault="00E62CD5" w:rsidP="00E62CD5">
            <w:r w:rsidRPr="00E62CD5">
              <w:rPr>
                <w:b/>
                <w:bCs/>
                <w:sz w:val="20"/>
                <w:szCs w:val="20"/>
              </w:rPr>
              <w:t>Barrier</w:t>
            </w:r>
          </w:p>
        </w:tc>
        <w:tc>
          <w:tcPr>
            <w:tcW w:w="3237" w:type="dxa"/>
            <w:shd w:val="clear" w:color="auto" w:fill="FFFFFF" w:themeFill="background1"/>
          </w:tcPr>
          <w:p w14:paraId="684374AB" w14:textId="526CEB56" w:rsidR="00E62CD5" w:rsidRDefault="00E62CD5" w:rsidP="00E62CD5">
            <w:r w:rsidRPr="00E62CD5">
              <w:rPr>
                <w:b/>
                <w:bCs/>
                <w:sz w:val="20"/>
                <w:szCs w:val="20"/>
              </w:rPr>
              <w:t>Source</w:t>
            </w:r>
          </w:p>
        </w:tc>
        <w:tc>
          <w:tcPr>
            <w:tcW w:w="5673" w:type="dxa"/>
            <w:shd w:val="clear" w:color="auto" w:fill="FFFFFF" w:themeFill="background1"/>
          </w:tcPr>
          <w:p w14:paraId="7EDFAE24" w14:textId="378D260C" w:rsidR="00E62CD5" w:rsidRDefault="00E62CD5" w:rsidP="00E62CD5">
            <w:r w:rsidRPr="00E62CD5">
              <w:rPr>
                <w:b/>
                <w:bCs/>
                <w:sz w:val="20"/>
                <w:szCs w:val="20"/>
              </w:rPr>
              <w:t>Potential Recommendations</w:t>
            </w:r>
          </w:p>
        </w:tc>
      </w:tr>
      <w:tr w:rsidR="00E62CD5" w14:paraId="6A059DE5" w14:textId="77777777" w:rsidTr="005A60E8">
        <w:trPr>
          <w:cantSplit/>
          <w:trHeight w:val="1880"/>
        </w:trPr>
        <w:tc>
          <w:tcPr>
            <w:tcW w:w="715" w:type="dxa"/>
            <w:shd w:val="clear" w:color="auto" w:fill="A6A6A6" w:themeFill="background1" w:themeFillShade="A6"/>
            <w:textDirection w:val="btLr"/>
          </w:tcPr>
          <w:p w14:paraId="2B1C5A7A" w14:textId="186BF048" w:rsidR="00E62CD5" w:rsidRDefault="00E62CD5" w:rsidP="00E62CD5">
            <w:pPr>
              <w:ind w:left="113" w:right="113"/>
              <w:jc w:val="center"/>
            </w:pPr>
            <w:r>
              <w:t>Enrollment</w:t>
            </w:r>
          </w:p>
        </w:tc>
        <w:tc>
          <w:tcPr>
            <w:tcW w:w="3060" w:type="dxa"/>
            <w:shd w:val="clear" w:color="auto" w:fill="F2F2F2" w:themeFill="background1" w:themeFillShade="F2"/>
          </w:tcPr>
          <w:p w14:paraId="79C7C46C" w14:textId="6FC738A2" w:rsidR="00E62CD5" w:rsidRDefault="00E62CD5" w:rsidP="00E62CD5">
            <w:r>
              <w:t>AJC policies and practices may create unnecessary barriers to program access.</w:t>
            </w:r>
          </w:p>
        </w:tc>
        <w:tc>
          <w:tcPr>
            <w:tcW w:w="3237" w:type="dxa"/>
            <w:shd w:val="clear" w:color="auto" w:fill="F2F2F2" w:themeFill="background1" w:themeFillShade="F2"/>
          </w:tcPr>
          <w:p w14:paraId="7FC755B9" w14:textId="36AF951A" w:rsidR="00E62CD5" w:rsidRDefault="00E62CD5" w:rsidP="00E62CD5">
            <w:r>
              <w:t>Local policy and practice</w:t>
            </w:r>
          </w:p>
        </w:tc>
        <w:tc>
          <w:tcPr>
            <w:tcW w:w="5673" w:type="dxa"/>
            <w:shd w:val="clear" w:color="auto" w:fill="F2F2F2" w:themeFill="background1" w:themeFillShade="F2"/>
          </w:tcPr>
          <w:p w14:paraId="7C895E4D" w14:textId="1981DDA9" w:rsidR="00E62CD5" w:rsidRDefault="00E62CD5" w:rsidP="00E62CD5">
            <w:r>
              <w:t>Provide training to AJCS on common local policies/practices that impact equity</w:t>
            </w:r>
            <w:r w:rsidR="00CF16D6">
              <w:t xml:space="preserve"> such as:</w:t>
            </w:r>
            <w:r>
              <w:rPr>
                <w:rStyle w:val="FootnoteReference"/>
              </w:rPr>
              <w:footnoteReference w:id="5"/>
            </w:r>
          </w:p>
          <w:p w14:paraId="075DC460" w14:textId="77777777" w:rsidR="00016A2D" w:rsidRPr="00016A2D" w:rsidRDefault="00016A2D" w:rsidP="00E62CD5">
            <w:pPr>
              <w:numPr>
                <w:ilvl w:val="0"/>
                <w:numId w:val="10"/>
              </w:numPr>
            </w:pPr>
            <w:hyperlink r:id="rId17" w:history="1">
              <w:r w:rsidRPr="00016A2D">
                <w:rPr>
                  <w:rStyle w:val="Hyperlink"/>
                </w:rPr>
                <w:t>P</w:t>
              </w:r>
            </w:hyperlink>
            <w:hyperlink r:id="rId18" w:history="1">
              <w:r w:rsidRPr="00016A2D">
                <w:rPr>
                  <w:rStyle w:val="Hyperlink"/>
                </w:rPr>
                <w:t>rohibiting children</w:t>
              </w:r>
            </w:hyperlink>
            <w:r w:rsidRPr="00016A2D">
              <w:t> at American Job Centers</w:t>
            </w:r>
          </w:p>
          <w:p w14:paraId="33435810" w14:textId="77777777" w:rsidR="00016A2D" w:rsidRPr="00016A2D" w:rsidRDefault="00016A2D" w:rsidP="00E62CD5">
            <w:pPr>
              <w:numPr>
                <w:ilvl w:val="0"/>
                <w:numId w:val="10"/>
              </w:numPr>
            </w:pPr>
            <w:r w:rsidRPr="00016A2D">
              <w:t>Hours of operation; access; location</w:t>
            </w:r>
          </w:p>
          <w:p w14:paraId="399638B4" w14:textId="23F09DCA" w:rsidR="00016A2D" w:rsidRPr="00016A2D" w:rsidRDefault="00016A2D" w:rsidP="00E62CD5">
            <w:pPr>
              <w:numPr>
                <w:ilvl w:val="0"/>
                <w:numId w:val="10"/>
              </w:numPr>
            </w:pPr>
            <w:r w:rsidRPr="00016A2D">
              <w:t>Instituting restrictive program eligibility criteria and intake processes</w:t>
            </w:r>
            <w:r w:rsidR="00E62CD5">
              <w:t xml:space="preserve"> (including choice of assessments)</w:t>
            </w:r>
          </w:p>
          <w:p w14:paraId="530A1187" w14:textId="77777777" w:rsidR="00016A2D" w:rsidRPr="00016A2D" w:rsidRDefault="00016A2D" w:rsidP="00E62CD5">
            <w:pPr>
              <w:numPr>
                <w:ilvl w:val="0"/>
                <w:numId w:val="10"/>
              </w:numPr>
            </w:pPr>
            <w:r w:rsidRPr="00016A2D">
              <w:t>Under-resourcing supportive services</w:t>
            </w:r>
          </w:p>
          <w:p w14:paraId="2BB1291D" w14:textId="1F009DC5" w:rsidR="00E62CD5" w:rsidRDefault="00E62CD5" w:rsidP="00E62CD5"/>
          <w:p w14:paraId="2D0E685C" w14:textId="0E8D568D" w:rsidR="00E62CD5" w:rsidRDefault="00E62CD5" w:rsidP="00E62CD5">
            <w:r>
              <w:t xml:space="preserve">Create </w:t>
            </w:r>
            <w:hyperlink r:id="rId19" w:history="1">
              <w:r w:rsidRPr="00CA4B8A">
                <w:rPr>
                  <w:rStyle w:val="Hyperlink"/>
                </w:rPr>
                <w:t>customer-centered design training</w:t>
              </w:r>
            </w:hyperlink>
            <w:r>
              <w:t xml:space="preserve"> for local AJCs</w:t>
            </w:r>
            <w:r>
              <w:t xml:space="preserve"> to empower AJC staff to build equitable service delivery strategies.</w:t>
            </w:r>
            <w:r>
              <w:rPr>
                <w:rStyle w:val="FootnoteReference"/>
              </w:rPr>
              <w:footnoteReference w:id="6"/>
            </w:r>
          </w:p>
          <w:p w14:paraId="75B1476F" w14:textId="77777777" w:rsidR="00E62CD5" w:rsidRDefault="00E62CD5" w:rsidP="00E62CD5"/>
          <w:p w14:paraId="69113ED1" w14:textId="24B13EC2" w:rsidR="00E62CD5" w:rsidRDefault="00E62CD5" w:rsidP="00E62CD5">
            <w:r>
              <w:t>Update AJC procurement and monitoring policies to encourage identification and removal of local barriers to equity.</w:t>
            </w:r>
          </w:p>
          <w:p w14:paraId="1D308907" w14:textId="66F858F2" w:rsidR="00E62CD5" w:rsidRDefault="00E62CD5" w:rsidP="00E62CD5"/>
        </w:tc>
      </w:tr>
      <w:tr w:rsidR="00E62CD5" w14:paraId="4B945A3D" w14:textId="77777777" w:rsidTr="004A0407">
        <w:trPr>
          <w:cantSplit/>
          <w:trHeight w:val="1134"/>
        </w:trPr>
        <w:tc>
          <w:tcPr>
            <w:tcW w:w="715" w:type="dxa"/>
            <w:shd w:val="clear" w:color="auto" w:fill="FFC000"/>
            <w:textDirection w:val="btLr"/>
          </w:tcPr>
          <w:p w14:paraId="171E1C9C" w14:textId="1AAB7AEB" w:rsidR="00E62CD5" w:rsidRDefault="00E62CD5" w:rsidP="00E62CD5">
            <w:pPr>
              <w:ind w:left="113" w:right="113"/>
              <w:jc w:val="center"/>
            </w:pPr>
            <w:r>
              <w:t>Career Counseling and Job Search</w:t>
            </w:r>
          </w:p>
        </w:tc>
        <w:tc>
          <w:tcPr>
            <w:tcW w:w="3060" w:type="dxa"/>
            <w:shd w:val="clear" w:color="auto" w:fill="FFEDB3"/>
          </w:tcPr>
          <w:p w14:paraId="17E1D0A2" w14:textId="445480B7" w:rsidR="00E62CD5" w:rsidRDefault="00E62CD5" w:rsidP="00E62CD5">
            <w:r>
              <w:t>Occupational training choice is highly correlate</w:t>
            </w:r>
            <w:r w:rsidR="0027718A">
              <w:t>d</w:t>
            </w:r>
            <w:r>
              <w:t xml:space="preserve"> to race and gender in the IL workforce system.  Some traditional occupations may lead to poor outcomes.</w:t>
            </w:r>
          </w:p>
          <w:p w14:paraId="1B106F3C" w14:textId="77777777" w:rsidR="00E62CD5" w:rsidRDefault="00E62CD5" w:rsidP="00E62CD5"/>
          <w:p w14:paraId="793C398D" w14:textId="079DE11C" w:rsidR="00E62CD5" w:rsidRDefault="00E62CD5" w:rsidP="00E62CD5">
            <w:r>
              <w:t>Digital tools and internet access are vital job search and career advancement resources, yet</w:t>
            </w:r>
            <w:r>
              <w:t xml:space="preserve"> it is difficult for AJCs to cover these costs</w:t>
            </w:r>
            <w:r>
              <w:t>.</w:t>
            </w:r>
            <w:r>
              <w:rPr>
                <w:rStyle w:val="FootnoteReference"/>
              </w:rPr>
              <w:footnoteReference w:id="7"/>
            </w:r>
          </w:p>
        </w:tc>
        <w:tc>
          <w:tcPr>
            <w:tcW w:w="3237" w:type="dxa"/>
            <w:shd w:val="clear" w:color="auto" w:fill="FFEDB3"/>
          </w:tcPr>
          <w:p w14:paraId="1678CEDC" w14:textId="23B54A6B" w:rsidR="00E62CD5" w:rsidRDefault="00E62CD5" w:rsidP="00E62CD5">
            <w:proofErr w:type="spellStart"/>
            <w:r>
              <w:t>tbd</w:t>
            </w:r>
            <w:proofErr w:type="spellEnd"/>
          </w:p>
        </w:tc>
        <w:tc>
          <w:tcPr>
            <w:tcW w:w="5673" w:type="dxa"/>
            <w:shd w:val="clear" w:color="auto" w:fill="FFEDB3"/>
          </w:tcPr>
          <w:p w14:paraId="23F64BD3" w14:textId="68D9E6B0" w:rsidR="00E62CD5" w:rsidRDefault="00E62CD5" w:rsidP="00E62CD5">
            <w:r>
              <w:t>Provide capacity building and training for AJC staff on how to identify implicit bias and remove it from their counseling.</w:t>
            </w:r>
          </w:p>
          <w:p w14:paraId="1A3355D2" w14:textId="77777777" w:rsidR="00E62CD5" w:rsidRDefault="00E62CD5" w:rsidP="00E62CD5"/>
          <w:p w14:paraId="6C4A6580" w14:textId="77777777" w:rsidR="00E62CD5" w:rsidRDefault="00E62CD5" w:rsidP="00E62CD5"/>
          <w:p w14:paraId="594F56DD" w14:textId="4D1E891D" w:rsidR="00E62CD5" w:rsidRDefault="00E62CD5" w:rsidP="00E62CD5">
            <w:r>
              <w:t>Communicate opportunities for local workforce areas to access resources for key activities, including</w:t>
            </w:r>
            <w:r>
              <w:t xml:space="preserve">: </w:t>
            </w:r>
          </w:p>
          <w:p w14:paraId="2965DAE9" w14:textId="55D491D5" w:rsidR="00E62CD5" w:rsidRDefault="00E62CD5" w:rsidP="00E62CD5">
            <w:pPr>
              <w:pStyle w:val="ListParagraph"/>
              <w:numPr>
                <w:ilvl w:val="0"/>
                <w:numId w:val="8"/>
              </w:numPr>
              <w:spacing w:line="240" w:lineRule="auto"/>
            </w:pPr>
            <w:r>
              <w:t xml:space="preserve">Computer/tablet purchases for clients. </w:t>
            </w:r>
          </w:p>
          <w:p w14:paraId="69903AD5" w14:textId="2130C014" w:rsidR="00E62CD5" w:rsidRDefault="00E62CD5" w:rsidP="00E62CD5">
            <w:pPr>
              <w:pStyle w:val="ListParagraph"/>
              <w:numPr>
                <w:ilvl w:val="0"/>
                <w:numId w:val="8"/>
              </w:numPr>
              <w:spacing w:line="240" w:lineRule="auto"/>
            </w:pPr>
            <w:r>
              <w:t xml:space="preserve">Expending program funds for home internet access as well as partnering with broader municipal internet accessibility efforts. </w:t>
            </w:r>
          </w:p>
          <w:p w14:paraId="33A4927B" w14:textId="0563E47A" w:rsidR="00E62CD5" w:rsidRDefault="00E62CD5" w:rsidP="00E62CD5">
            <w:pPr>
              <w:pStyle w:val="ListParagraph"/>
              <w:numPr>
                <w:ilvl w:val="0"/>
                <w:numId w:val="5"/>
              </w:numPr>
              <w:spacing w:line="240" w:lineRule="auto"/>
            </w:pPr>
            <w:r>
              <w:t>Digital literacy training as a core component of workforce preparation</w:t>
            </w:r>
            <w:r>
              <w:t xml:space="preserve"> (this is a good opportunity for alignment with WIOA Title II, adult education)</w:t>
            </w:r>
            <w:r>
              <w:t>.</w:t>
            </w:r>
          </w:p>
        </w:tc>
      </w:tr>
      <w:tr w:rsidR="006B4D7D" w14:paraId="4D3CAABE" w14:textId="77777777" w:rsidTr="006B4D7D">
        <w:trPr>
          <w:cantSplit/>
          <w:trHeight w:val="260"/>
        </w:trPr>
        <w:tc>
          <w:tcPr>
            <w:tcW w:w="715" w:type="dxa"/>
            <w:shd w:val="clear" w:color="auto" w:fill="FFFFFF" w:themeFill="background1"/>
            <w:textDirection w:val="btLr"/>
          </w:tcPr>
          <w:p w14:paraId="21BD5379" w14:textId="77777777" w:rsidR="006B4D7D" w:rsidRPr="006B4D7D" w:rsidRDefault="006B4D7D" w:rsidP="006B4D7D">
            <w:pPr>
              <w:ind w:left="113" w:right="113"/>
              <w:jc w:val="center"/>
              <w:rPr>
                <w:sz w:val="20"/>
                <w:szCs w:val="20"/>
              </w:rPr>
            </w:pPr>
          </w:p>
          <w:p w14:paraId="5AD59649" w14:textId="77777777" w:rsidR="006B4D7D" w:rsidRPr="006B4D7D" w:rsidRDefault="006B4D7D" w:rsidP="006B4D7D">
            <w:pPr>
              <w:ind w:left="113" w:right="113"/>
              <w:jc w:val="center"/>
            </w:pPr>
          </w:p>
        </w:tc>
        <w:tc>
          <w:tcPr>
            <w:tcW w:w="3060" w:type="dxa"/>
            <w:shd w:val="clear" w:color="auto" w:fill="FFFFFF" w:themeFill="background1"/>
          </w:tcPr>
          <w:p w14:paraId="4EF361FC" w14:textId="77381DFF" w:rsidR="006B4D7D" w:rsidRPr="006B4D7D" w:rsidRDefault="006B4D7D" w:rsidP="006B4D7D">
            <w:r w:rsidRPr="006B4D7D">
              <w:rPr>
                <w:b/>
                <w:bCs/>
                <w:sz w:val="20"/>
                <w:szCs w:val="20"/>
              </w:rPr>
              <w:t>Barrier</w:t>
            </w:r>
          </w:p>
        </w:tc>
        <w:tc>
          <w:tcPr>
            <w:tcW w:w="3237" w:type="dxa"/>
            <w:shd w:val="clear" w:color="auto" w:fill="FFFFFF" w:themeFill="background1"/>
          </w:tcPr>
          <w:p w14:paraId="6A02D6DD" w14:textId="3EE3C60F" w:rsidR="006B4D7D" w:rsidRPr="006B4D7D" w:rsidRDefault="006B4D7D" w:rsidP="006B4D7D">
            <w:r w:rsidRPr="006B4D7D">
              <w:rPr>
                <w:b/>
                <w:bCs/>
                <w:sz w:val="20"/>
                <w:szCs w:val="20"/>
              </w:rPr>
              <w:t>Source</w:t>
            </w:r>
          </w:p>
        </w:tc>
        <w:tc>
          <w:tcPr>
            <w:tcW w:w="5673" w:type="dxa"/>
            <w:shd w:val="clear" w:color="auto" w:fill="FFFFFF" w:themeFill="background1"/>
          </w:tcPr>
          <w:p w14:paraId="09F9BFB8" w14:textId="43320231" w:rsidR="006B4D7D" w:rsidRPr="006B4D7D" w:rsidRDefault="006B4D7D" w:rsidP="006B4D7D">
            <w:pPr>
              <w:spacing w:line="276" w:lineRule="auto"/>
            </w:pPr>
            <w:r w:rsidRPr="006B4D7D">
              <w:rPr>
                <w:b/>
                <w:bCs/>
                <w:sz w:val="20"/>
                <w:szCs w:val="20"/>
              </w:rPr>
              <w:t>Potential Recommendations</w:t>
            </w:r>
          </w:p>
        </w:tc>
      </w:tr>
      <w:tr w:rsidR="006B4D7D" w14:paraId="007FAE6D" w14:textId="77777777" w:rsidTr="004A0407">
        <w:trPr>
          <w:cantSplit/>
          <w:trHeight w:val="1134"/>
        </w:trPr>
        <w:tc>
          <w:tcPr>
            <w:tcW w:w="715" w:type="dxa"/>
            <w:shd w:val="clear" w:color="auto" w:fill="5B9BD5"/>
            <w:textDirection w:val="btLr"/>
          </w:tcPr>
          <w:p w14:paraId="1556C309" w14:textId="32D68FBB" w:rsidR="006B4D7D" w:rsidRDefault="006B4D7D" w:rsidP="006B4D7D">
            <w:pPr>
              <w:ind w:left="113" w:right="113"/>
              <w:jc w:val="center"/>
            </w:pPr>
            <w:r>
              <w:t>Job Training</w:t>
            </w:r>
          </w:p>
        </w:tc>
        <w:tc>
          <w:tcPr>
            <w:tcW w:w="3060" w:type="dxa"/>
            <w:shd w:val="clear" w:color="auto" w:fill="B9D4ED"/>
          </w:tcPr>
          <w:p w14:paraId="2769460D" w14:textId="0BC1595F" w:rsidR="006B4D7D" w:rsidRDefault="006B4D7D" w:rsidP="006B4D7D">
            <w:r>
              <w:t xml:space="preserve">Culturally responsive community-based organizations have trouble qualifying for the ETPL. </w:t>
            </w:r>
          </w:p>
          <w:p w14:paraId="3965A6EB" w14:textId="77777777" w:rsidR="006B4D7D" w:rsidRDefault="006B4D7D" w:rsidP="006B4D7D"/>
          <w:p w14:paraId="3C84E0D3" w14:textId="0035B4E4" w:rsidR="006B4D7D" w:rsidRDefault="006B4D7D" w:rsidP="006B4D7D">
            <w:r>
              <w:t xml:space="preserve">Some </w:t>
            </w:r>
            <w:r>
              <w:t>for-profit training institutions</w:t>
            </w:r>
            <w:r>
              <w:t xml:space="preserve"> on the ETPL provide</w:t>
            </w:r>
            <w:r>
              <w:t xml:space="preserve"> career promises but poor completion and employment outcomes.</w:t>
            </w:r>
            <w:r>
              <w:rPr>
                <w:rStyle w:val="FootnoteReference"/>
              </w:rPr>
              <w:footnoteReference w:id="8"/>
            </w:r>
          </w:p>
        </w:tc>
        <w:tc>
          <w:tcPr>
            <w:tcW w:w="3237" w:type="dxa"/>
            <w:shd w:val="clear" w:color="auto" w:fill="B9D4ED"/>
          </w:tcPr>
          <w:p w14:paraId="50B1CD1A" w14:textId="77777777" w:rsidR="006B4D7D" w:rsidRDefault="006B4D7D" w:rsidP="006B4D7D"/>
        </w:tc>
        <w:tc>
          <w:tcPr>
            <w:tcW w:w="5673" w:type="dxa"/>
            <w:shd w:val="clear" w:color="auto" w:fill="B9D4ED"/>
          </w:tcPr>
          <w:p w14:paraId="5E6570C0" w14:textId="26216BBF" w:rsidR="006B4D7D" w:rsidRDefault="006B4D7D" w:rsidP="006B4D7D">
            <w:pPr>
              <w:spacing w:line="276" w:lineRule="auto"/>
            </w:pPr>
            <w:r>
              <w:t xml:space="preserve">Help </w:t>
            </w:r>
            <w:r>
              <w:t>culturally responsive community-based organizations qualifying for the Eligible Training Provider List (ETPL)</w:t>
            </w:r>
            <w:r w:rsidR="00CF16D6">
              <w:t>:</w:t>
            </w:r>
            <w:r>
              <w:t xml:space="preserve">  </w:t>
            </w:r>
          </w:p>
          <w:p w14:paraId="5999CA0F" w14:textId="2C53406C" w:rsidR="006B4D7D" w:rsidRDefault="006B4D7D" w:rsidP="006B4D7D">
            <w:pPr>
              <w:pStyle w:val="ListParagraph"/>
              <w:numPr>
                <w:ilvl w:val="0"/>
                <w:numId w:val="5"/>
              </w:numPr>
              <w:spacing w:after="120" w:line="264" w:lineRule="auto"/>
            </w:pPr>
            <w:r>
              <w:t>Provide training to such o</w:t>
            </w:r>
            <w:r>
              <w:t>rganizations on how to use and navigate the system</w:t>
            </w:r>
            <w:r w:rsidR="00CF16D6">
              <w:t>.</w:t>
            </w:r>
          </w:p>
          <w:p w14:paraId="7666E5CE" w14:textId="5BBC2964" w:rsidR="006B4D7D" w:rsidRDefault="006B4D7D" w:rsidP="006B4D7D">
            <w:pPr>
              <w:pStyle w:val="ListParagraph"/>
              <w:numPr>
                <w:ilvl w:val="0"/>
                <w:numId w:val="5"/>
              </w:numPr>
              <w:spacing w:line="276" w:lineRule="auto"/>
            </w:pPr>
            <w:r>
              <w:t>Add criteria to the ETPL</w:t>
            </w:r>
            <w:r w:rsidR="00CF16D6">
              <w:t xml:space="preserve"> policy</w:t>
            </w:r>
            <w:r>
              <w:t xml:space="preserve"> about whether training organizations </w:t>
            </w:r>
            <w:r>
              <w:t xml:space="preserve">are mission driven, </w:t>
            </w:r>
            <w:r w:rsidR="005B718A">
              <w:t xml:space="preserve">and whether </w:t>
            </w:r>
            <w:r>
              <w:t>they have community support</w:t>
            </w:r>
            <w:r w:rsidR="00CF16D6">
              <w:t>.</w:t>
            </w:r>
          </w:p>
          <w:p w14:paraId="39D738BD" w14:textId="77777777" w:rsidR="006B4D7D" w:rsidRDefault="006B4D7D" w:rsidP="006B4D7D"/>
          <w:p w14:paraId="10A886FA" w14:textId="5A75C419" w:rsidR="006B4D7D" w:rsidRDefault="00CF16D6" w:rsidP="006B4D7D">
            <w:r>
              <w:t>Include in the revised ETPL policy requirements</w:t>
            </w:r>
            <w:r w:rsidR="006B4D7D">
              <w:t xml:space="preserve"> to evaluate outcomes and ban predatory training companies that have a track record of poor completion and employment outcomes.</w:t>
            </w:r>
          </w:p>
          <w:p w14:paraId="72F0CFD7" w14:textId="1B62665D" w:rsidR="00CF16D6" w:rsidRDefault="00CF16D6" w:rsidP="006B4D7D"/>
          <w:p w14:paraId="28FDCFFC" w14:textId="50DBEA72" w:rsidR="00CF16D6" w:rsidRDefault="00CF16D6" w:rsidP="006B4D7D">
            <w:r>
              <w:t>Examine the equity impacts of current criteria for the demand occupations list and ensure that local areas have a</w:t>
            </w:r>
            <w:r w:rsidR="00D44CC6">
              <w:t xml:space="preserve"> non-burdensome process for including local in-demand occupations.</w:t>
            </w:r>
          </w:p>
          <w:p w14:paraId="50163F1A" w14:textId="270304AD" w:rsidR="006B4D7D" w:rsidRDefault="006B4D7D" w:rsidP="006B4D7D"/>
        </w:tc>
      </w:tr>
      <w:tr w:rsidR="006B4D7D" w14:paraId="1E937DD0" w14:textId="77777777" w:rsidTr="004A0407">
        <w:trPr>
          <w:cantSplit/>
          <w:trHeight w:val="1583"/>
        </w:trPr>
        <w:tc>
          <w:tcPr>
            <w:tcW w:w="715" w:type="dxa"/>
            <w:shd w:val="clear" w:color="auto" w:fill="70AD47"/>
            <w:textDirection w:val="btLr"/>
          </w:tcPr>
          <w:p w14:paraId="68615A6A" w14:textId="5B65D530" w:rsidR="006B4D7D" w:rsidRDefault="006B4D7D" w:rsidP="006B4D7D">
            <w:pPr>
              <w:ind w:left="113" w:right="113"/>
              <w:jc w:val="center"/>
            </w:pPr>
            <w:r>
              <w:t>Job Placement</w:t>
            </w:r>
          </w:p>
        </w:tc>
        <w:tc>
          <w:tcPr>
            <w:tcW w:w="3060" w:type="dxa"/>
            <w:shd w:val="clear" w:color="auto" w:fill="D4E8C6"/>
          </w:tcPr>
          <w:p w14:paraId="79D68CEA" w14:textId="70C7B5BC" w:rsidR="006B4D7D" w:rsidRPr="00016A2D" w:rsidRDefault="006B4D7D" w:rsidP="006B4D7D">
            <w:pPr>
              <w:rPr>
                <w:i/>
                <w:iCs/>
              </w:rPr>
            </w:pPr>
            <w:r>
              <w:rPr>
                <w:i/>
                <w:iCs/>
              </w:rPr>
              <w:t xml:space="preserve">Note to Workgroup: Has the workgroup identified any barriers or recommendations in </w:t>
            </w:r>
            <w:proofErr w:type="gramStart"/>
            <w:r>
              <w:rPr>
                <w:i/>
                <w:iCs/>
              </w:rPr>
              <w:t>this areas</w:t>
            </w:r>
            <w:proofErr w:type="gramEnd"/>
            <w:r>
              <w:rPr>
                <w:i/>
                <w:iCs/>
              </w:rPr>
              <w:t>?</w:t>
            </w:r>
          </w:p>
        </w:tc>
        <w:tc>
          <w:tcPr>
            <w:tcW w:w="3237" w:type="dxa"/>
            <w:shd w:val="clear" w:color="auto" w:fill="D4E8C6"/>
          </w:tcPr>
          <w:p w14:paraId="36E8E93D" w14:textId="77777777" w:rsidR="006B4D7D" w:rsidRDefault="006B4D7D" w:rsidP="006B4D7D"/>
        </w:tc>
        <w:tc>
          <w:tcPr>
            <w:tcW w:w="5673" w:type="dxa"/>
            <w:shd w:val="clear" w:color="auto" w:fill="D4E8C6"/>
          </w:tcPr>
          <w:p w14:paraId="2048A94C" w14:textId="06D2331B" w:rsidR="006B4D7D" w:rsidRDefault="006B4D7D" w:rsidP="00D44CC6">
            <w:r w:rsidRPr="00016A2D">
              <w:t>Public workforce system leaders should support employers with tools to advance equity. This could include educating employer partners about training in equity and in </w:t>
            </w:r>
            <w:hyperlink r:id="rId20" w:history="1">
              <w:r w:rsidRPr="00016A2D">
                <w:rPr>
                  <w:rStyle w:val="Hyperlink"/>
                </w:rPr>
                <w:t>trauma-informed care</w:t>
              </w:r>
            </w:hyperlink>
            <w:r w:rsidRPr="00016A2D">
              <w:t>, promoting training as a requirement for partnership, and/or developing and implementing practices that will increase sustainable placement for workers of color, such as new-hire cohorts and trauma-informed management strategies.</w:t>
            </w:r>
            <w:r w:rsidR="00D44CC6">
              <w:t xml:space="preserve"> Encourage </w:t>
            </w:r>
            <w:r w:rsidRPr="00016A2D">
              <w:t>approaches that “prepare jobs for people” rather than “prepare people for jobs,” and support employer partners in doing the same.</w:t>
            </w:r>
            <w:r>
              <w:rPr>
                <w:rStyle w:val="FootnoteReference"/>
              </w:rPr>
              <w:footnoteReference w:id="9"/>
            </w:r>
          </w:p>
        </w:tc>
      </w:tr>
    </w:tbl>
    <w:p w14:paraId="4F8EACCF" w14:textId="77777777" w:rsidR="00761E91" w:rsidRDefault="00761E91" w:rsidP="00CF16D6"/>
    <w:sectPr w:rsidR="00761E91" w:rsidSect="006425C1">
      <w:foot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73CB5" w14:textId="77777777" w:rsidR="002D4E30" w:rsidRDefault="002D4E30" w:rsidP="002D4E30">
      <w:pPr>
        <w:spacing w:after="0" w:line="240" w:lineRule="auto"/>
      </w:pPr>
      <w:r>
        <w:separator/>
      </w:r>
    </w:p>
  </w:endnote>
  <w:endnote w:type="continuationSeparator" w:id="0">
    <w:p w14:paraId="5DECEB96" w14:textId="77777777" w:rsidR="002D4E30" w:rsidRDefault="002D4E30" w:rsidP="002D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467644"/>
      <w:docPartObj>
        <w:docPartGallery w:val="Page Numbers (Bottom of Page)"/>
        <w:docPartUnique/>
      </w:docPartObj>
    </w:sdtPr>
    <w:sdtEndPr>
      <w:rPr>
        <w:noProof/>
      </w:rPr>
    </w:sdtEndPr>
    <w:sdtContent>
      <w:p w14:paraId="38C5F74E" w14:textId="1C26B6CE" w:rsidR="00CF16D6" w:rsidRDefault="00CF16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E903E5" w14:textId="77777777" w:rsidR="00CF16D6" w:rsidRDefault="00CF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036D6" w14:textId="77777777" w:rsidR="002D4E30" w:rsidRDefault="002D4E30" w:rsidP="002D4E30">
      <w:pPr>
        <w:spacing w:after="0" w:line="240" w:lineRule="auto"/>
      </w:pPr>
      <w:r>
        <w:separator/>
      </w:r>
    </w:p>
  </w:footnote>
  <w:footnote w:type="continuationSeparator" w:id="0">
    <w:p w14:paraId="3E7385C2" w14:textId="77777777" w:rsidR="002D4E30" w:rsidRDefault="002D4E30" w:rsidP="002D4E30">
      <w:pPr>
        <w:spacing w:after="0" w:line="240" w:lineRule="auto"/>
      </w:pPr>
      <w:r>
        <w:continuationSeparator/>
      </w:r>
    </w:p>
  </w:footnote>
  <w:footnote w:id="1">
    <w:p w14:paraId="2C4361E3" w14:textId="037839B8" w:rsidR="002D4E30" w:rsidRPr="002D4E30" w:rsidRDefault="002D4E30">
      <w:pPr>
        <w:pStyle w:val="FootnoteText"/>
        <w:rPr>
          <w:sz w:val="16"/>
          <w:szCs w:val="16"/>
        </w:rPr>
      </w:pPr>
      <w:r w:rsidRPr="002D4E30">
        <w:rPr>
          <w:rStyle w:val="FootnoteReference"/>
          <w:sz w:val="16"/>
          <w:szCs w:val="16"/>
        </w:rPr>
        <w:footnoteRef/>
      </w:r>
      <w:r w:rsidRPr="002D4E30">
        <w:rPr>
          <w:sz w:val="16"/>
          <w:szCs w:val="16"/>
        </w:rPr>
        <w:t xml:space="preserve"> </w:t>
      </w:r>
      <w:hyperlink r:id="rId1" w:history="1">
        <w:r w:rsidRPr="002D4E30">
          <w:rPr>
            <w:rStyle w:val="Hyperlink"/>
            <w:sz w:val="16"/>
            <w:szCs w:val="16"/>
          </w:rPr>
          <w:t>Source: Five Things Public Workforce Systems Should Do Now to Advance Racial Equity | Heartland Alliance</w:t>
        </w:r>
      </w:hyperlink>
    </w:p>
  </w:footnote>
  <w:footnote w:id="2">
    <w:p w14:paraId="26A100D4" w14:textId="364B0BBB" w:rsidR="002D4E30" w:rsidRPr="002D4E30" w:rsidRDefault="002D4E30">
      <w:pPr>
        <w:pStyle w:val="FootnoteText"/>
        <w:rPr>
          <w:sz w:val="16"/>
          <w:szCs w:val="16"/>
        </w:rPr>
      </w:pPr>
      <w:r w:rsidRPr="002D4E30">
        <w:rPr>
          <w:rStyle w:val="FootnoteReference"/>
          <w:sz w:val="16"/>
          <w:szCs w:val="16"/>
        </w:rPr>
        <w:footnoteRef/>
      </w:r>
      <w:r w:rsidRPr="002D4E30">
        <w:rPr>
          <w:sz w:val="16"/>
          <w:szCs w:val="16"/>
        </w:rPr>
        <w:t xml:space="preserve"> </w:t>
      </w:r>
      <w:hyperlink r:id="rId2" w:history="1">
        <w:r w:rsidRPr="002D4E30">
          <w:rPr>
            <w:rStyle w:val="Hyperlink"/>
            <w:sz w:val="16"/>
            <w:szCs w:val="16"/>
          </w:rPr>
          <w:t>Source: Five Things Public Workforce Systems Should Do Now to Advance Racial Equity | Heartland Alliance</w:t>
        </w:r>
      </w:hyperlink>
    </w:p>
  </w:footnote>
  <w:footnote w:id="3">
    <w:p w14:paraId="5C27E31A" w14:textId="1223D392" w:rsidR="002D4E30" w:rsidRPr="00CA4B8A" w:rsidRDefault="002D4E30" w:rsidP="00CA4B8A">
      <w:pPr>
        <w:pStyle w:val="FootnoteText"/>
        <w:rPr>
          <w:sz w:val="16"/>
          <w:szCs w:val="16"/>
        </w:rPr>
      </w:pPr>
      <w:r w:rsidRPr="002D4E30">
        <w:rPr>
          <w:rStyle w:val="FootnoteReference"/>
          <w:sz w:val="16"/>
          <w:szCs w:val="16"/>
        </w:rPr>
        <w:footnoteRef/>
      </w:r>
      <w:r w:rsidRPr="002D4E30">
        <w:rPr>
          <w:sz w:val="16"/>
          <w:szCs w:val="16"/>
        </w:rPr>
        <w:t xml:space="preserve"> </w:t>
      </w:r>
      <w:hyperlink r:id="rId3" w:history="1">
        <w:r w:rsidRPr="002D4E30">
          <w:rPr>
            <w:rStyle w:val="Hyperlink"/>
            <w:sz w:val="16"/>
            <w:szCs w:val="16"/>
          </w:rPr>
          <w:t>Source: Five Things Public Workforce Systems Should Do Now to Advance Racial Equity | Heartland Alliance</w:t>
        </w:r>
      </w:hyperlink>
      <w:r w:rsidR="00CA4B8A">
        <w:tab/>
      </w:r>
    </w:p>
  </w:footnote>
  <w:footnote w:id="4">
    <w:p w14:paraId="57BE2E04" w14:textId="54C84D1D" w:rsidR="00E62CD5" w:rsidRPr="002D4E30" w:rsidRDefault="00E62CD5">
      <w:pPr>
        <w:pStyle w:val="FootnoteText"/>
        <w:rPr>
          <w:sz w:val="16"/>
          <w:szCs w:val="16"/>
        </w:rPr>
      </w:pPr>
      <w:r w:rsidRPr="002D4E30">
        <w:rPr>
          <w:rStyle w:val="FootnoteReference"/>
          <w:sz w:val="16"/>
          <w:szCs w:val="16"/>
        </w:rPr>
        <w:footnoteRef/>
      </w:r>
      <w:r w:rsidRPr="002D4E30">
        <w:rPr>
          <w:sz w:val="16"/>
          <w:szCs w:val="16"/>
        </w:rPr>
        <w:t xml:space="preserve"> Source: </w:t>
      </w:r>
      <w:hyperlink r:id="rId4" w:history="1">
        <w:r w:rsidRPr="002D4E30">
          <w:rPr>
            <w:rStyle w:val="Hyperlink"/>
            <w:sz w:val="16"/>
            <w:szCs w:val="16"/>
          </w:rPr>
          <w:t>WIOA Performance Targets: Incentives to Improve Workforce Services for Individuals with Barriers to Employment | CLASP</w:t>
        </w:r>
      </w:hyperlink>
    </w:p>
  </w:footnote>
  <w:footnote w:id="5">
    <w:p w14:paraId="68590252" w14:textId="25C7DE3E" w:rsidR="00E62CD5" w:rsidRDefault="00E62CD5">
      <w:pPr>
        <w:pStyle w:val="FootnoteText"/>
      </w:pPr>
      <w:r>
        <w:rPr>
          <w:rStyle w:val="FootnoteReference"/>
        </w:rPr>
        <w:footnoteRef/>
      </w:r>
      <w:r>
        <w:t xml:space="preserve"> </w:t>
      </w:r>
      <w:hyperlink r:id="rId5" w:history="1">
        <w:r w:rsidRPr="002D4E30">
          <w:rPr>
            <w:rStyle w:val="Hyperlink"/>
            <w:sz w:val="16"/>
            <w:szCs w:val="16"/>
          </w:rPr>
          <w:t>Source</w:t>
        </w:r>
      </w:hyperlink>
      <w:hyperlink r:id="rId6" w:history="1">
        <w:r w:rsidRPr="002D4E30">
          <w:rPr>
            <w:rStyle w:val="Hyperlink"/>
            <w:sz w:val="16"/>
            <w:szCs w:val="16"/>
          </w:rPr>
          <w:t>: Family-Centered Approaches to Workforce Program Services (urban.org)</w:t>
        </w:r>
      </w:hyperlink>
    </w:p>
  </w:footnote>
  <w:footnote w:id="6">
    <w:p w14:paraId="2ABDED6D" w14:textId="10241CF4" w:rsidR="00E62CD5" w:rsidRDefault="00E62CD5">
      <w:pPr>
        <w:pStyle w:val="FootnoteText"/>
      </w:pPr>
      <w:r>
        <w:rPr>
          <w:rStyle w:val="FootnoteReference"/>
        </w:rPr>
        <w:footnoteRef/>
      </w:r>
      <w:r>
        <w:t xml:space="preserve"> </w:t>
      </w:r>
      <w:r w:rsidRPr="00041639">
        <w:rPr>
          <w:sz w:val="16"/>
          <w:szCs w:val="16"/>
        </w:rPr>
        <w:t xml:space="preserve">Source: </w:t>
      </w:r>
      <w:hyperlink r:id="rId7" w:history="1">
        <w:r w:rsidRPr="00041639">
          <w:rPr>
            <w:rStyle w:val="Hyperlink"/>
            <w:sz w:val="16"/>
            <w:szCs w:val="16"/>
          </w:rPr>
          <w:t>TRAINING AND EMPLOYMENT GUIDANCE LETTER No. 07-20, Employment &amp; Training Administration (ETA) - U.S. Department of Labor (doleta.gov)</w:t>
        </w:r>
      </w:hyperlink>
    </w:p>
  </w:footnote>
  <w:footnote w:id="7">
    <w:p w14:paraId="6C46245A" w14:textId="00DBBF9C" w:rsidR="00E62CD5" w:rsidRPr="00CA4B8A" w:rsidRDefault="00E62CD5">
      <w:pPr>
        <w:pStyle w:val="FootnoteText"/>
        <w:rPr>
          <w:sz w:val="16"/>
          <w:szCs w:val="16"/>
        </w:rPr>
      </w:pPr>
      <w:r w:rsidRPr="00CA4B8A">
        <w:rPr>
          <w:rStyle w:val="FootnoteReference"/>
          <w:sz w:val="16"/>
          <w:szCs w:val="16"/>
        </w:rPr>
        <w:footnoteRef/>
      </w:r>
      <w:r w:rsidRPr="00CA4B8A">
        <w:rPr>
          <w:sz w:val="16"/>
          <w:szCs w:val="16"/>
        </w:rPr>
        <w:t xml:space="preserve"> Barrier identified in </w:t>
      </w:r>
      <w:r>
        <w:rPr>
          <w:sz w:val="16"/>
          <w:szCs w:val="16"/>
        </w:rPr>
        <w:t>ETF member Bridget Altenb</w:t>
      </w:r>
      <w:r w:rsidR="00CF16D6">
        <w:rPr>
          <w:sz w:val="16"/>
          <w:szCs w:val="16"/>
        </w:rPr>
        <w:t>u</w:t>
      </w:r>
      <w:r>
        <w:rPr>
          <w:sz w:val="16"/>
          <w:szCs w:val="16"/>
        </w:rPr>
        <w:t xml:space="preserve">rg in </w:t>
      </w:r>
      <w:r w:rsidRPr="00CA4B8A">
        <w:rPr>
          <w:sz w:val="16"/>
          <w:szCs w:val="16"/>
        </w:rPr>
        <w:t>September presentation ABLE</w:t>
      </w:r>
    </w:p>
  </w:footnote>
  <w:footnote w:id="8">
    <w:p w14:paraId="78E800BE" w14:textId="4157E8B0" w:rsidR="006B4D7D" w:rsidRDefault="006B4D7D">
      <w:pPr>
        <w:pStyle w:val="FootnoteText"/>
      </w:pPr>
      <w:r>
        <w:rPr>
          <w:rStyle w:val="FootnoteReference"/>
        </w:rPr>
        <w:footnoteRef/>
      </w:r>
      <w:r>
        <w:t xml:space="preserve"> </w:t>
      </w:r>
      <w:r w:rsidRPr="00CA4B8A">
        <w:rPr>
          <w:sz w:val="16"/>
          <w:szCs w:val="16"/>
        </w:rPr>
        <w:t xml:space="preserve">Barrier identified in </w:t>
      </w:r>
      <w:r>
        <w:rPr>
          <w:sz w:val="16"/>
          <w:szCs w:val="16"/>
        </w:rPr>
        <w:t xml:space="preserve">ETF member Bridget </w:t>
      </w:r>
      <w:r w:rsidR="00CF16D6">
        <w:rPr>
          <w:sz w:val="16"/>
          <w:szCs w:val="16"/>
        </w:rPr>
        <w:t>Altenburg</w:t>
      </w:r>
      <w:r>
        <w:rPr>
          <w:sz w:val="16"/>
          <w:szCs w:val="16"/>
        </w:rPr>
        <w:t xml:space="preserve"> in </w:t>
      </w:r>
      <w:r w:rsidRPr="00CA4B8A">
        <w:rPr>
          <w:sz w:val="16"/>
          <w:szCs w:val="16"/>
        </w:rPr>
        <w:t>September presentation</w:t>
      </w:r>
    </w:p>
  </w:footnote>
  <w:footnote w:id="9">
    <w:p w14:paraId="00489A5D" w14:textId="77777777" w:rsidR="006B4D7D" w:rsidRPr="002D4E30" w:rsidRDefault="006B4D7D" w:rsidP="002D4E30">
      <w:pPr>
        <w:pStyle w:val="FootnoteText"/>
      </w:pPr>
      <w:r>
        <w:rPr>
          <w:rStyle w:val="FootnoteReference"/>
        </w:rPr>
        <w:footnoteRef/>
      </w:r>
      <w:r>
        <w:t xml:space="preserve"> </w:t>
      </w:r>
      <w:hyperlink r:id="rId8" w:history="1">
        <w:r w:rsidRPr="002D4E30">
          <w:rPr>
            <w:rStyle w:val="Hyperlink"/>
          </w:rPr>
          <w:t>Source: Five Things Public Workforce Systems Should Do Now to Advance Racial Equity | Heartland Alliance</w:t>
        </w:r>
      </w:hyperlink>
    </w:p>
    <w:p w14:paraId="7A069245" w14:textId="7C569196" w:rsidR="006B4D7D" w:rsidRDefault="006B4D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21EA7"/>
    <w:multiLevelType w:val="hybridMultilevel"/>
    <w:tmpl w:val="BA5A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390"/>
    <w:multiLevelType w:val="hybridMultilevel"/>
    <w:tmpl w:val="4C76A00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9D44C4"/>
    <w:multiLevelType w:val="hybridMultilevel"/>
    <w:tmpl w:val="97F2C16E"/>
    <w:lvl w:ilvl="0" w:tplc="4FAE4F5A">
      <w:start w:val="1"/>
      <w:numFmt w:val="bullet"/>
      <w:lvlText w:val="•"/>
      <w:lvlJc w:val="left"/>
      <w:pPr>
        <w:tabs>
          <w:tab w:val="num" w:pos="720"/>
        </w:tabs>
        <w:ind w:left="720" w:hanging="360"/>
      </w:pPr>
      <w:rPr>
        <w:rFonts w:ascii="Arial" w:hAnsi="Arial" w:hint="default"/>
      </w:rPr>
    </w:lvl>
    <w:lvl w:ilvl="1" w:tplc="CA34D60E" w:tentative="1">
      <w:start w:val="1"/>
      <w:numFmt w:val="bullet"/>
      <w:lvlText w:val="•"/>
      <w:lvlJc w:val="left"/>
      <w:pPr>
        <w:tabs>
          <w:tab w:val="num" w:pos="1440"/>
        </w:tabs>
        <w:ind w:left="1440" w:hanging="360"/>
      </w:pPr>
      <w:rPr>
        <w:rFonts w:ascii="Arial" w:hAnsi="Arial" w:hint="default"/>
      </w:rPr>
    </w:lvl>
    <w:lvl w:ilvl="2" w:tplc="52D07F18" w:tentative="1">
      <w:start w:val="1"/>
      <w:numFmt w:val="bullet"/>
      <w:lvlText w:val="•"/>
      <w:lvlJc w:val="left"/>
      <w:pPr>
        <w:tabs>
          <w:tab w:val="num" w:pos="2160"/>
        </w:tabs>
        <w:ind w:left="2160" w:hanging="360"/>
      </w:pPr>
      <w:rPr>
        <w:rFonts w:ascii="Arial" w:hAnsi="Arial" w:hint="default"/>
      </w:rPr>
    </w:lvl>
    <w:lvl w:ilvl="3" w:tplc="2E8867D4" w:tentative="1">
      <w:start w:val="1"/>
      <w:numFmt w:val="bullet"/>
      <w:lvlText w:val="•"/>
      <w:lvlJc w:val="left"/>
      <w:pPr>
        <w:tabs>
          <w:tab w:val="num" w:pos="2880"/>
        </w:tabs>
        <w:ind w:left="2880" w:hanging="360"/>
      </w:pPr>
      <w:rPr>
        <w:rFonts w:ascii="Arial" w:hAnsi="Arial" w:hint="default"/>
      </w:rPr>
    </w:lvl>
    <w:lvl w:ilvl="4" w:tplc="ADEEFC3C" w:tentative="1">
      <w:start w:val="1"/>
      <w:numFmt w:val="bullet"/>
      <w:lvlText w:val="•"/>
      <w:lvlJc w:val="left"/>
      <w:pPr>
        <w:tabs>
          <w:tab w:val="num" w:pos="3600"/>
        </w:tabs>
        <w:ind w:left="3600" w:hanging="360"/>
      </w:pPr>
      <w:rPr>
        <w:rFonts w:ascii="Arial" w:hAnsi="Arial" w:hint="default"/>
      </w:rPr>
    </w:lvl>
    <w:lvl w:ilvl="5" w:tplc="174881DA" w:tentative="1">
      <w:start w:val="1"/>
      <w:numFmt w:val="bullet"/>
      <w:lvlText w:val="•"/>
      <w:lvlJc w:val="left"/>
      <w:pPr>
        <w:tabs>
          <w:tab w:val="num" w:pos="4320"/>
        </w:tabs>
        <w:ind w:left="4320" w:hanging="360"/>
      </w:pPr>
      <w:rPr>
        <w:rFonts w:ascii="Arial" w:hAnsi="Arial" w:hint="default"/>
      </w:rPr>
    </w:lvl>
    <w:lvl w:ilvl="6" w:tplc="ED4ABD58" w:tentative="1">
      <w:start w:val="1"/>
      <w:numFmt w:val="bullet"/>
      <w:lvlText w:val="•"/>
      <w:lvlJc w:val="left"/>
      <w:pPr>
        <w:tabs>
          <w:tab w:val="num" w:pos="5040"/>
        </w:tabs>
        <w:ind w:left="5040" w:hanging="360"/>
      </w:pPr>
      <w:rPr>
        <w:rFonts w:ascii="Arial" w:hAnsi="Arial" w:hint="default"/>
      </w:rPr>
    </w:lvl>
    <w:lvl w:ilvl="7" w:tplc="7B4C89D4" w:tentative="1">
      <w:start w:val="1"/>
      <w:numFmt w:val="bullet"/>
      <w:lvlText w:val="•"/>
      <w:lvlJc w:val="left"/>
      <w:pPr>
        <w:tabs>
          <w:tab w:val="num" w:pos="5760"/>
        </w:tabs>
        <w:ind w:left="5760" w:hanging="360"/>
      </w:pPr>
      <w:rPr>
        <w:rFonts w:ascii="Arial" w:hAnsi="Arial" w:hint="default"/>
      </w:rPr>
    </w:lvl>
    <w:lvl w:ilvl="8" w:tplc="1B04B3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624B07"/>
    <w:multiLevelType w:val="hybridMultilevel"/>
    <w:tmpl w:val="1A5213DA"/>
    <w:lvl w:ilvl="0" w:tplc="EC82D876">
      <w:start w:val="1"/>
      <w:numFmt w:val="bullet"/>
      <w:lvlText w:val="•"/>
      <w:lvlJc w:val="left"/>
      <w:pPr>
        <w:tabs>
          <w:tab w:val="num" w:pos="720"/>
        </w:tabs>
        <w:ind w:left="720" w:hanging="360"/>
      </w:pPr>
      <w:rPr>
        <w:rFonts w:ascii="Arial" w:hAnsi="Arial" w:hint="default"/>
      </w:rPr>
    </w:lvl>
    <w:lvl w:ilvl="1" w:tplc="C3BA37AE">
      <w:start w:val="1"/>
      <w:numFmt w:val="bullet"/>
      <w:lvlText w:val="•"/>
      <w:lvlJc w:val="left"/>
      <w:pPr>
        <w:tabs>
          <w:tab w:val="num" w:pos="1440"/>
        </w:tabs>
        <w:ind w:left="1440" w:hanging="360"/>
      </w:pPr>
      <w:rPr>
        <w:rFonts w:ascii="Arial" w:hAnsi="Arial" w:hint="default"/>
      </w:rPr>
    </w:lvl>
    <w:lvl w:ilvl="2" w:tplc="76E4ADB4" w:tentative="1">
      <w:start w:val="1"/>
      <w:numFmt w:val="bullet"/>
      <w:lvlText w:val="•"/>
      <w:lvlJc w:val="left"/>
      <w:pPr>
        <w:tabs>
          <w:tab w:val="num" w:pos="2160"/>
        </w:tabs>
        <w:ind w:left="2160" w:hanging="360"/>
      </w:pPr>
      <w:rPr>
        <w:rFonts w:ascii="Arial" w:hAnsi="Arial" w:hint="default"/>
      </w:rPr>
    </w:lvl>
    <w:lvl w:ilvl="3" w:tplc="4DB4821E" w:tentative="1">
      <w:start w:val="1"/>
      <w:numFmt w:val="bullet"/>
      <w:lvlText w:val="•"/>
      <w:lvlJc w:val="left"/>
      <w:pPr>
        <w:tabs>
          <w:tab w:val="num" w:pos="2880"/>
        </w:tabs>
        <w:ind w:left="2880" w:hanging="360"/>
      </w:pPr>
      <w:rPr>
        <w:rFonts w:ascii="Arial" w:hAnsi="Arial" w:hint="default"/>
      </w:rPr>
    </w:lvl>
    <w:lvl w:ilvl="4" w:tplc="1F44DC56" w:tentative="1">
      <w:start w:val="1"/>
      <w:numFmt w:val="bullet"/>
      <w:lvlText w:val="•"/>
      <w:lvlJc w:val="left"/>
      <w:pPr>
        <w:tabs>
          <w:tab w:val="num" w:pos="3600"/>
        </w:tabs>
        <w:ind w:left="3600" w:hanging="360"/>
      </w:pPr>
      <w:rPr>
        <w:rFonts w:ascii="Arial" w:hAnsi="Arial" w:hint="default"/>
      </w:rPr>
    </w:lvl>
    <w:lvl w:ilvl="5" w:tplc="84145194" w:tentative="1">
      <w:start w:val="1"/>
      <w:numFmt w:val="bullet"/>
      <w:lvlText w:val="•"/>
      <w:lvlJc w:val="left"/>
      <w:pPr>
        <w:tabs>
          <w:tab w:val="num" w:pos="4320"/>
        </w:tabs>
        <w:ind w:left="4320" w:hanging="360"/>
      </w:pPr>
      <w:rPr>
        <w:rFonts w:ascii="Arial" w:hAnsi="Arial" w:hint="default"/>
      </w:rPr>
    </w:lvl>
    <w:lvl w:ilvl="6" w:tplc="0978A7EA" w:tentative="1">
      <w:start w:val="1"/>
      <w:numFmt w:val="bullet"/>
      <w:lvlText w:val="•"/>
      <w:lvlJc w:val="left"/>
      <w:pPr>
        <w:tabs>
          <w:tab w:val="num" w:pos="5040"/>
        </w:tabs>
        <w:ind w:left="5040" w:hanging="360"/>
      </w:pPr>
      <w:rPr>
        <w:rFonts w:ascii="Arial" w:hAnsi="Arial" w:hint="default"/>
      </w:rPr>
    </w:lvl>
    <w:lvl w:ilvl="7" w:tplc="556C61D2" w:tentative="1">
      <w:start w:val="1"/>
      <w:numFmt w:val="bullet"/>
      <w:lvlText w:val="•"/>
      <w:lvlJc w:val="left"/>
      <w:pPr>
        <w:tabs>
          <w:tab w:val="num" w:pos="5760"/>
        </w:tabs>
        <w:ind w:left="5760" w:hanging="360"/>
      </w:pPr>
      <w:rPr>
        <w:rFonts w:ascii="Arial" w:hAnsi="Arial" w:hint="default"/>
      </w:rPr>
    </w:lvl>
    <w:lvl w:ilvl="8" w:tplc="13108F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EA2452"/>
    <w:multiLevelType w:val="hybridMultilevel"/>
    <w:tmpl w:val="51A6B9EA"/>
    <w:lvl w:ilvl="0" w:tplc="C0A074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50FC4"/>
    <w:multiLevelType w:val="hybridMultilevel"/>
    <w:tmpl w:val="FA4609B4"/>
    <w:lvl w:ilvl="0" w:tplc="871A6DF8">
      <w:start w:val="5"/>
      <w:numFmt w:val="decimal"/>
      <w:lvlText w:val="%1."/>
      <w:lvlJc w:val="left"/>
      <w:pPr>
        <w:tabs>
          <w:tab w:val="num" w:pos="720"/>
        </w:tabs>
        <w:ind w:left="720" w:hanging="360"/>
      </w:pPr>
    </w:lvl>
    <w:lvl w:ilvl="1" w:tplc="2DC43B7C" w:tentative="1">
      <w:start w:val="1"/>
      <w:numFmt w:val="decimal"/>
      <w:lvlText w:val="%2."/>
      <w:lvlJc w:val="left"/>
      <w:pPr>
        <w:tabs>
          <w:tab w:val="num" w:pos="1440"/>
        </w:tabs>
        <w:ind w:left="1440" w:hanging="360"/>
      </w:pPr>
    </w:lvl>
    <w:lvl w:ilvl="2" w:tplc="592697A2" w:tentative="1">
      <w:start w:val="1"/>
      <w:numFmt w:val="decimal"/>
      <w:lvlText w:val="%3."/>
      <w:lvlJc w:val="left"/>
      <w:pPr>
        <w:tabs>
          <w:tab w:val="num" w:pos="2160"/>
        </w:tabs>
        <w:ind w:left="2160" w:hanging="360"/>
      </w:pPr>
    </w:lvl>
    <w:lvl w:ilvl="3" w:tplc="BD669916" w:tentative="1">
      <w:start w:val="1"/>
      <w:numFmt w:val="decimal"/>
      <w:lvlText w:val="%4."/>
      <w:lvlJc w:val="left"/>
      <w:pPr>
        <w:tabs>
          <w:tab w:val="num" w:pos="2880"/>
        </w:tabs>
        <w:ind w:left="2880" w:hanging="360"/>
      </w:pPr>
    </w:lvl>
    <w:lvl w:ilvl="4" w:tplc="78C47C30" w:tentative="1">
      <w:start w:val="1"/>
      <w:numFmt w:val="decimal"/>
      <w:lvlText w:val="%5."/>
      <w:lvlJc w:val="left"/>
      <w:pPr>
        <w:tabs>
          <w:tab w:val="num" w:pos="3600"/>
        </w:tabs>
        <w:ind w:left="3600" w:hanging="360"/>
      </w:pPr>
    </w:lvl>
    <w:lvl w:ilvl="5" w:tplc="E2601C10" w:tentative="1">
      <w:start w:val="1"/>
      <w:numFmt w:val="decimal"/>
      <w:lvlText w:val="%6."/>
      <w:lvlJc w:val="left"/>
      <w:pPr>
        <w:tabs>
          <w:tab w:val="num" w:pos="4320"/>
        </w:tabs>
        <w:ind w:left="4320" w:hanging="360"/>
      </w:pPr>
    </w:lvl>
    <w:lvl w:ilvl="6" w:tplc="DF2E724E" w:tentative="1">
      <w:start w:val="1"/>
      <w:numFmt w:val="decimal"/>
      <w:lvlText w:val="%7."/>
      <w:lvlJc w:val="left"/>
      <w:pPr>
        <w:tabs>
          <w:tab w:val="num" w:pos="5040"/>
        </w:tabs>
        <w:ind w:left="5040" w:hanging="360"/>
      </w:pPr>
    </w:lvl>
    <w:lvl w:ilvl="7" w:tplc="AC583136" w:tentative="1">
      <w:start w:val="1"/>
      <w:numFmt w:val="decimal"/>
      <w:lvlText w:val="%8."/>
      <w:lvlJc w:val="left"/>
      <w:pPr>
        <w:tabs>
          <w:tab w:val="num" w:pos="5760"/>
        </w:tabs>
        <w:ind w:left="5760" w:hanging="360"/>
      </w:pPr>
    </w:lvl>
    <w:lvl w:ilvl="8" w:tplc="2BE08E50" w:tentative="1">
      <w:start w:val="1"/>
      <w:numFmt w:val="decimal"/>
      <w:lvlText w:val="%9."/>
      <w:lvlJc w:val="left"/>
      <w:pPr>
        <w:tabs>
          <w:tab w:val="num" w:pos="6480"/>
        </w:tabs>
        <w:ind w:left="6480" w:hanging="360"/>
      </w:pPr>
    </w:lvl>
  </w:abstractNum>
  <w:abstractNum w:abstractNumId="6" w15:restartNumberingAfterBreak="0">
    <w:nsid w:val="797A1D46"/>
    <w:multiLevelType w:val="hybridMultilevel"/>
    <w:tmpl w:val="866A31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A8A4828"/>
    <w:multiLevelType w:val="hybridMultilevel"/>
    <w:tmpl w:val="C2769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0"/>
  </w:num>
  <w:num w:numId="6">
    <w:abstractNumId w:val="7"/>
    <w:lvlOverride w:ilvl="0"/>
    <w:lvlOverride w:ilvl="1"/>
    <w:lvlOverride w:ilvl="2"/>
    <w:lvlOverride w:ilvl="3"/>
    <w:lvlOverride w:ilvl="4"/>
    <w:lvlOverride w:ilvl="5"/>
    <w:lvlOverride w:ilvl="6"/>
    <w:lvlOverride w:ilvl="7"/>
    <w:lvlOverride w:ilvl="8"/>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91"/>
    <w:rsid w:val="00016A2D"/>
    <w:rsid w:val="00041639"/>
    <w:rsid w:val="000B25F9"/>
    <w:rsid w:val="0019082D"/>
    <w:rsid w:val="0027718A"/>
    <w:rsid w:val="002C7E0B"/>
    <w:rsid w:val="002D4E30"/>
    <w:rsid w:val="004A0407"/>
    <w:rsid w:val="005A60E8"/>
    <w:rsid w:val="005B718A"/>
    <w:rsid w:val="006425C1"/>
    <w:rsid w:val="006B4D7D"/>
    <w:rsid w:val="00761E91"/>
    <w:rsid w:val="008177B5"/>
    <w:rsid w:val="0082238E"/>
    <w:rsid w:val="008268F5"/>
    <w:rsid w:val="00CA4B8A"/>
    <w:rsid w:val="00CF16D6"/>
    <w:rsid w:val="00D32359"/>
    <w:rsid w:val="00D44CC6"/>
    <w:rsid w:val="00E62CD5"/>
    <w:rsid w:val="00F1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BDED"/>
  <w15:chartTrackingRefBased/>
  <w15:docId w15:val="{518DDBFC-7671-4BA0-B1DC-545E3A49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4E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1E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1E91"/>
  </w:style>
  <w:style w:type="paragraph" w:styleId="ListParagraph">
    <w:name w:val="List Paragraph"/>
    <w:basedOn w:val="Normal"/>
    <w:uiPriority w:val="34"/>
    <w:qFormat/>
    <w:rsid w:val="00761E91"/>
    <w:pPr>
      <w:spacing w:line="256" w:lineRule="auto"/>
      <w:ind w:left="720"/>
      <w:contextualSpacing/>
    </w:pPr>
  </w:style>
  <w:style w:type="character" w:styleId="Hyperlink">
    <w:name w:val="Hyperlink"/>
    <w:basedOn w:val="DefaultParagraphFont"/>
    <w:uiPriority w:val="99"/>
    <w:unhideWhenUsed/>
    <w:rsid w:val="00761E91"/>
    <w:rPr>
      <w:color w:val="0563C1" w:themeColor="hyperlink"/>
      <w:u w:val="single"/>
    </w:rPr>
  </w:style>
  <w:style w:type="table" w:styleId="TableGrid">
    <w:name w:val="Table Grid"/>
    <w:basedOn w:val="TableNormal"/>
    <w:uiPriority w:val="39"/>
    <w:rsid w:val="0076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25F9"/>
    <w:rPr>
      <w:color w:val="605E5C"/>
      <w:shd w:val="clear" w:color="auto" w:fill="E1DFDD"/>
    </w:rPr>
  </w:style>
  <w:style w:type="paragraph" w:styleId="FootnoteText">
    <w:name w:val="footnote text"/>
    <w:basedOn w:val="Normal"/>
    <w:link w:val="FootnoteTextChar"/>
    <w:uiPriority w:val="99"/>
    <w:semiHidden/>
    <w:unhideWhenUsed/>
    <w:rsid w:val="002D4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30"/>
    <w:rPr>
      <w:sz w:val="20"/>
      <w:szCs w:val="20"/>
    </w:rPr>
  </w:style>
  <w:style w:type="character" w:styleId="FootnoteReference">
    <w:name w:val="footnote reference"/>
    <w:basedOn w:val="DefaultParagraphFont"/>
    <w:uiPriority w:val="99"/>
    <w:semiHidden/>
    <w:unhideWhenUsed/>
    <w:rsid w:val="002D4E30"/>
    <w:rPr>
      <w:vertAlign w:val="superscript"/>
    </w:rPr>
  </w:style>
  <w:style w:type="paragraph" w:styleId="NormalWeb">
    <w:name w:val="Normal (Web)"/>
    <w:basedOn w:val="Normal"/>
    <w:uiPriority w:val="99"/>
    <w:semiHidden/>
    <w:unhideWhenUsed/>
    <w:rsid w:val="002D4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D4E3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F1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6D6"/>
  </w:style>
  <w:style w:type="paragraph" w:styleId="Footer">
    <w:name w:val="footer"/>
    <w:basedOn w:val="Normal"/>
    <w:link w:val="FooterChar"/>
    <w:uiPriority w:val="99"/>
    <w:unhideWhenUsed/>
    <w:rsid w:val="00CF1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8878">
      <w:bodyDiv w:val="1"/>
      <w:marLeft w:val="0"/>
      <w:marRight w:val="0"/>
      <w:marTop w:val="0"/>
      <w:marBottom w:val="0"/>
      <w:divBdr>
        <w:top w:val="none" w:sz="0" w:space="0" w:color="auto"/>
        <w:left w:val="none" w:sz="0" w:space="0" w:color="auto"/>
        <w:bottom w:val="none" w:sz="0" w:space="0" w:color="auto"/>
        <w:right w:val="none" w:sz="0" w:space="0" w:color="auto"/>
      </w:divBdr>
    </w:div>
    <w:div w:id="106200747">
      <w:bodyDiv w:val="1"/>
      <w:marLeft w:val="0"/>
      <w:marRight w:val="0"/>
      <w:marTop w:val="0"/>
      <w:marBottom w:val="0"/>
      <w:divBdr>
        <w:top w:val="none" w:sz="0" w:space="0" w:color="auto"/>
        <w:left w:val="none" w:sz="0" w:space="0" w:color="auto"/>
        <w:bottom w:val="none" w:sz="0" w:space="0" w:color="auto"/>
        <w:right w:val="none" w:sz="0" w:space="0" w:color="auto"/>
      </w:divBdr>
    </w:div>
    <w:div w:id="150371266">
      <w:bodyDiv w:val="1"/>
      <w:marLeft w:val="0"/>
      <w:marRight w:val="0"/>
      <w:marTop w:val="0"/>
      <w:marBottom w:val="0"/>
      <w:divBdr>
        <w:top w:val="none" w:sz="0" w:space="0" w:color="auto"/>
        <w:left w:val="none" w:sz="0" w:space="0" w:color="auto"/>
        <w:bottom w:val="none" w:sz="0" w:space="0" w:color="auto"/>
        <w:right w:val="none" w:sz="0" w:space="0" w:color="auto"/>
      </w:divBdr>
    </w:div>
    <w:div w:id="171334573">
      <w:bodyDiv w:val="1"/>
      <w:marLeft w:val="0"/>
      <w:marRight w:val="0"/>
      <w:marTop w:val="0"/>
      <w:marBottom w:val="0"/>
      <w:divBdr>
        <w:top w:val="none" w:sz="0" w:space="0" w:color="auto"/>
        <w:left w:val="none" w:sz="0" w:space="0" w:color="auto"/>
        <w:bottom w:val="none" w:sz="0" w:space="0" w:color="auto"/>
        <w:right w:val="none" w:sz="0" w:space="0" w:color="auto"/>
      </w:divBdr>
    </w:div>
    <w:div w:id="196965057">
      <w:bodyDiv w:val="1"/>
      <w:marLeft w:val="0"/>
      <w:marRight w:val="0"/>
      <w:marTop w:val="0"/>
      <w:marBottom w:val="0"/>
      <w:divBdr>
        <w:top w:val="none" w:sz="0" w:space="0" w:color="auto"/>
        <w:left w:val="none" w:sz="0" w:space="0" w:color="auto"/>
        <w:bottom w:val="none" w:sz="0" w:space="0" w:color="auto"/>
        <w:right w:val="none" w:sz="0" w:space="0" w:color="auto"/>
      </w:divBdr>
    </w:div>
    <w:div w:id="290980632">
      <w:bodyDiv w:val="1"/>
      <w:marLeft w:val="0"/>
      <w:marRight w:val="0"/>
      <w:marTop w:val="0"/>
      <w:marBottom w:val="0"/>
      <w:divBdr>
        <w:top w:val="none" w:sz="0" w:space="0" w:color="auto"/>
        <w:left w:val="none" w:sz="0" w:space="0" w:color="auto"/>
        <w:bottom w:val="none" w:sz="0" w:space="0" w:color="auto"/>
        <w:right w:val="none" w:sz="0" w:space="0" w:color="auto"/>
      </w:divBdr>
    </w:div>
    <w:div w:id="310063213">
      <w:bodyDiv w:val="1"/>
      <w:marLeft w:val="0"/>
      <w:marRight w:val="0"/>
      <w:marTop w:val="0"/>
      <w:marBottom w:val="0"/>
      <w:divBdr>
        <w:top w:val="none" w:sz="0" w:space="0" w:color="auto"/>
        <w:left w:val="none" w:sz="0" w:space="0" w:color="auto"/>
        <w:bottom w:val="none" w:sz="0" w:space="0" w:color="auto"/>
        <w:right w:val="none" w:sz="0" w:space="0" w:color="auto"/>
      </w:divBdr>
      <w:divsChild>
        <w:div w:id="318576681">
          <w:marLeft w:val="446"/>
          <w:marRight w:val="0"/>
          <w:marTop w:val="360"/>
          <w:marBottom w:val="0"/>
          <w:divBdr>
            <w:top w:val="none" w:sz="0" w:space="0" w:color="auto"/>
            <w:left w:val="none" w:sz="0" w:space="0" w:color="auto"/>
            <w:bottom w:val="none" w:sz="0" w:space="0" w:color="auto"/>
            <w:right w:val="none" w:sz="0" w:space="0" w:color="auto"/>
          </w:divBdr>
        </w:div>
        <w:div w:id="274870527">
          <w:marLeft w:val="446"/>
          <w:marRight w:val="0"/>
          <w:marTop w:val="360"/>
          <w:marBottom w:val="0"/>
          <w:divBdr>
            <w:top w:val="none" w:sz="0" w:space="0" w:color="auto"/>
            <w:left w:val="none" w:sz="0" w:space="0" w:color="auto"/>
            <w:bottom w:val="none" w:sz="0" w:space="0" w:color="auto"/>
            <w:right w:val="none" w:sz="0" w:space="0" w:color="auto"/>
          </w:divBdr>
        </w:div>
        <w:div w:id="561911424">
          <w:marLeft w:val="446"/>
          <w:marRight w:val="0"/>
          <w:marTop w:val="360"/>
          <w:marBottom w:val="0"/>
          <w:divBdr>
            <w:top w:val="none" w:sz="0" w:space="0" w:color="auto"/>
            <w:left w:val="none" w:sz="0" w:space="0" w:color="auto"/>
            <w:bottom w:val="none" w:sz="0" w:space="0" w:color="auto"/>
            <w:right w:val="none" w:sz="0" w:space="0" w:color="auto"/>
          </w:divBdr>
        </w:div>
        <w:div w:id="1039551557">
          <w:marLeft w:val="446"/>
          <w:marRight w:val="0"/>
          <w:marTop w:val="360"/>
          <w:marBottom w:val="0"/>
          <w:divBdr>
            <w:top w:val="none" w:sz="0" w:space="0" w:color="auto"/>
            <w:left w:val="none" w:sz="0" w:space="0" w:color="auto"/>
            <w:bottom w:val="none" w:sz="0" w:space="0" w:color="auto"/>
            <w:right w:val="none" w:sz="0" w:space="0" w:color="auto"/>
          </w:divBdr>
        </w:div>
      </w:divsChild>
    </w:div>
    <w:div w:id="661587814">
      <w:bodyDiv w:val="1"/>
      <w:marLeft w:val="0"/>
      <w:marRight w:val="0"/>
      <w:marTop w:val="0"/>
      <w:marBottom w:val="0"/>
      <w:divBdr>
        <w:top w:val="none" w:sz="0" w:space="0" w:color="auto"/>
        <w:left w:val="none" w:sz="0" w:space="0" w:color="auto"/>
        <w:bottom w:val="none" w:sz="0" w:space="0" w:color="auto"/>
        <w:right w:val="none" w:sz="0" w:space="0" w:color="auto"/>
      </w:divBdr>
    </w:div>
    <w:div w:id="791823808">
      <w:bodyDiv w:val="1"/>
      <w:marLeft w:val="0"/>
      <w:marRight w:val="0"/>
      <w:marTop w:val="0"/>
      <w:marBottom w:val="0"/>
      <w:divBdr>
        <w:top w:val="none" w:sz="0" w:space="0" w:color="auto"/>
        <w:left w:val="none" w:sz="0" w:space="0" w:color="auto"/>
        <w:bottom w:val="none" w:sz="0" w:space="0" w:color="auto"/>
        <w:right w:val="none" w:sz="0" w:space="0" w:color="auto"/>
      </w:divBdr>
    </w:div>
    <w:div w:id="812211357">
      <w:bodyDiv w:val="1"/>
      <w:marLeft w:val="0"/>
      <w:marRight w:val="0"/>
      <w:marTop w:val="0"/>
      <w:marBottom w:val="0"/>
      <w:divBdr>
        <w:top w:val="none" w:sz="0" w:space="0" w:color="auto"/>
        <w:left w:val="none" w:sz="0" w:space="0" w:color="auto"/>
        <w:bottom w:val="none" w:sz="0" w:space="0" w:color="auto"/>
        <w:right w:val="none" w:sz="0" w:space="0" w:color="auto"/>
      </w:divBdr>
      <w:divsChild>
        <w:div w:id="1291860427">
          <w:marLeft w:val="547"/>
          <w:marRight w:val="0"/>
          <w:marTop w:val="0"/>
          <w:marBottom w:val="160"/>
          <w:divBdr>
            <w:top w:val="none" w:sz="0" w:space="0" w:color="auto"/>
            <w:left w:val="none" w:sz="0" w:space="0" w:color="auto"/>
            <w:bottom w:val="none" w:sz="0" w:space="0" w:color="auto"/>
            <w:right w:val="none" w:sz="0" w:space="0" w:color="auto"/>
          </w:divBdr>
        </w:div>
      </w:divsChild>
    </w:div>
    <w:div w:id="881942521">
      <w:bodyDiv w:val="1"/>
      <w:marLeft w:val="0"/>
      <w:marRight w:val="0"/>
      <w:marTop w:val="0"/>
      <w:marBottom w:val="0"/>
      <w:divBdr>
        <w:top w:val="none" w:sz="0" w:space="0" w:color="auto"/>
        <w:left w:val="none" w:sz="0" w:space="0" w:color="auto"/>
        <w:bottom w:val="none" w:sz="0" w:space="0" w:color="auto"/>
        <w:right w:val="none" w:sz="0" w:space="0" w:color="auto"/>
      </w:divBdr>
    </w:div>
    <w:div w:id="891619986">
      <w:bodyDiv w:val="1"/>
      <w:marLeft w:val="0"/>
      <w:marRight w:val="0"/>
      <w:marTop w:val="0"/>
      <w:marBottom w:val="0"/>
      <w:divBdr>
        <w:top w:val="none" w:sz="0" w:space="0" w:color="auto"/>
        <w:left w:val="none" w:sz="0" w:space="0" w:color="auto"/>
        <w:bottom w:val="none" w:sz="0" w:space="0" w:color="auto"/>
        <w:right w:val="none" w:sz="0" w:space="0" w:color="auto"/>
      </w:divBdr>
    </w:div>
    <w:div w:id="909652917">
      <w:bodyDiv w:val="1"/>
      <w:marLeft w:val="0"/>
      <w:marRight w:val="0"/>
      <w:marTop w:val="0"/>
      <w:marBottom w:val="0"/>
      <w:divBdr>
        <w:top w:val="none" w:sz="0" w:space="0" w:color="auto"/>
        <w:left w:val="none" w:sz="0" w:space="0" w:color="auto"/>
        <w:bottom w:val="none" w:sz="0" w:space="0" w:color="auto"/>
        <w:right w:val="none" w:sz="0" w:space="0" w:color="auto"/>
      </w:divBdr>
    </w:div>
    <w:div w:id="924461857">
      <w:bodyDiv w:val="1"/>
      <w:marLeft w:val="0"/>
      <w:marRight w:val="0"/>
      <w:marTop w:val="0"/>
      <w:marBottom w:val="0"/>
      <w:divBdr>
        <w:top w:val="none" w:sz="0" w:space="0" w:color="auto"/>
        <w:left w:val="none" w:sz="0" w:space="0" w:color="auto"/>
        <w:bottom w:val="none" w:sz="0" w:space="0" w:color="auto"/>
        <w:right w:val="none" w:sz="0" w:space="0" w:color="auto"/>
      </w:divBdr>
    </w:div>
    <w:div w:id="1023673485">
      <w:bodyDiv w:val="1"/>
      <w:marLeft w:val="0"/>
      <w:marRight w:val="0"/>
      <w:marTop w:val="0"/>
      <w:marBottom w:val="0"/>
      <w:divBdr>
        <w:top w:val="none" w:sz="0" w:space="0" w:color="auto"/>
        <w:left w:val="none" w:sz="0" w:space="0" w:color="auto"/>
        <w:bottom w:val="none" w:sz="0" w:space="0" w:color="auto"/>
        <w:right w:val="none" w:sz="0" w:space="0" w:color="auto"/>
      </w:divBdr>
    </w:div>
    <w:div w:id="1053429877">
      <w:bodyDiv w:val="1"/>
      <w:marLeft w:val="0"/>
      <w:marRight w:val="0"/>
      <w:marTop w:val="0"/>
      <w:marBottom w:val="0"/>
      <w:divBdr>
        <w:top w:val="none" w:sz="0" w:space="0" w:color="auto"/>
        <w:left w:val="none" w:sz="0" w:space="0" w:color="auto"/>
        <w:bottom w:val="none" w:sz="0" w:space="0" w:color="auto"/>
        <w:right w:val="none" w:sz="0" w:space="0" w:color="auto"/>
      </w:divBdr>
    </w:div>
    <w:div w:id="1072628547">
      <w:bodyDiv w:val="1"/>
      <w:marLeft w:val="0"/>
      <w:marRight w:val="0"/>
      <w:marTop w:val="0"/>
      <w:marBottom w:val="0"/>
      <w:divBdr>
        <w:top w:val="none" w:sz="0" w:space="0" w:color="auto"/>
        <w:left w:val="none" w:sz="0" w:space="0" w:color="auto"/>
        <w:bottom w:val="none" w:sz="0" w:space="0" w:color="auto"/>
        <w:right w:val="none" w:sz="0" w:space="0" w:color="auto"/>
      </w:divBdr>
    </w:div>
    <w:div w:id="1154375270">
      <w:bodyDiv w:val="1"/>
      <w:marLeft w:val="0"/>
      <w:marRight w:val="0"/>
      <w:marTop w:val="0"/>
      <w:marBottom w:val="0"/>
      <w:divBdr>
        <w:top w:val="none" w:sz="0" w:space="0" w:color="auto"/>
        <w:left w:val="none" w:sz="0" w:space="0" w:color="auto"/>
        <w:bottom w:val="none" w:sz="0" w:space="0" w:color="auto"/>
        <w:right w:val="none" w:sz="0" w:space="0" w:color="auto"/>
      </w:divBdr>
    </w:div>
    <w:div w:id="1180973568">
      <w:bodyDiv w:val="1"/>
      <w:marLeft w:val="0"/>
      <w:marRight w:val="0"/>
      <w:marTop w:val="0"/>
      <w:marBottom w:val="0"/>
      <w:divBdr>
        <w:top w:val="none" w:sz="0" w:space="0" w:color="auto"/>
        <w:left w:val="none" w:sz="0" w:space="0" w:color="auto"/>
        <w:bottom w:val="none" w:sz="0" w:space="0" w:color="auto"/>
        <w:right w:val="none" w:sz="0" w:space="0" w:color="auto"/>
      </w:divBdr>
    </w:div>
    <w:div w:id="1296447556">
      <w:bodyDiv w:val="1"/>
      <w:marLeft w:val="0"/>
      <w:marRight w:val="0"/>
      <w:marTop w:val="0"/>
      <w:marBottom w:val="0"/>
      <w:divBdr>
        <w:top w:val="none" w:sz="0" w:space="0" w:color="auto"/>
        <w:left w:val="none" w:sz="0" w:space="0" w:color="auto"/>
        <w:bottom w:val="none" w:sz="0" w:space="0" w:color="auto"/>
        <w:right w:val="none" w:sz="0" w:space="0" w:color="auto"/>
      </w:divBdr>
    </w:div>
    <w:div w:id="1365641763">
      <w:bodyDiv w:val="1"/>
      <w:marLeft w:val="0"/>
      <w:marRight w:val="0"/>
      <w:marTop w:val="0"/>
      <w:marBottom w:val="0"/>
      <w:divBdr>
        <w:top w:val="none" w:sz="0" w:space="0" w:color="auto"/>
        <w:left w:val="none" w:sz="0" w:space="0" w:color="auto"/>
        <w:bottom w:val="none" w:sz="0" w:space="0" w:color="auto"/>
        <w:right w:val="none" w:sz="0" w:space="0" w:color="auto"/>
      </w:divBdr>
    </w:div>
    <w:div w:id="1409575193">
      <w:bodyDiv w:val="1"/>
      <w:marLeft w:val="0"/>
      <w:marRight w:val="0"/>
      <w:marTop w:val="0"/>
      <w:marBottom w:val="0"/>
      <w:divBdr>
        <w:top w:val="none" w:sz="0" w:space="0" w:color="auto"/>
        <w:left w:val="none" w:sz="0" w:space="0" w:color="auto"/>
        <w:bottom w:val="none" w:sz="0" w:space="0" w:color="auto"/>
        <w:right w:val="none" w:sz="0" w:space="0" w:color="auto"/>
      </w:divBdr>
    </w:div>
    <w:div w:id="1467578694">
      <w:bodyDiv w:val="1"/>
      <w:marLeft w:val="0"/>
      <w:marRight w:val="0"/>
      <w:marTop w:val="0"/>
      <w:marBottom w:val="0"/>
      <w:divBdr>
        <w:top w:val="none" w:sz="0" w:space="0" w:color="auto"/>
        <w:left w:val="none" w:sz="0" w:space="0" w:color="auto"/>
        <w:bottom w:val="none" w:sz="0" w:space="0" w:color="auto"/>
        <w:right w:val="none" w:sz="0" w:space="0" w:color="auto"/>
      </w:divBdr>
    </w:div>
    <w:div w:id="1497764797">
      <w:bodyDiv w:val="1"/>
      <w:marLeft w:val="0"/>
      <w:marRight w:val="0"/>
      <w:marTop w:val="0"/>
      <w:marBottom w:val="0"/>
      <w:divBdr>
        <w:top w:val="none" w:sz="0" w:space="0" w:color="auto"/>
        <w:left w:val="none" w:sz="0" w:space="0" w:color="auto"/>
        <w:bottom w:val="none" w:sz="0" w:space="0" w:color="auto"/>
        <w:right w:val="none" w:sz="0" w:space="0" w:color="auto"/>
      </w:divBdr>
    </w:div>
    <w:div w:id="1507860956">
      <w:bodyDiv w:val="1"/>
      <w:marLeft w:val="0"/>
      <w:marRight w:val="0"/>
      <w:marTop w:val="0"/>
      <w:marBottom w:val="0"/>
      <w:divBdr>
        <w:top w:val="none" w:sz="0" w:space="0" w:color="auto"/>
        <w:left w:val="none" w:sz="0" w:space="0" w:color="auto"/>
        <w:bottom w:val="none" w:sz="0" w:space="0" w:color="auto"/>
        <w:right w:val="none" w:sz="0" w:space="0" w:color="auto"/>
      </w:divBdr>
    </w:div>
    <w:div w:id="1536233224">
      <w:bodyDiv w:val="1"/>
      <w:marLeft w:val="0"/>
      <w:marRight w:val="0"/>
      <w:marTop w:val="0"/>
      <w:marBottom w:val="0"/>
      <w:divBdr>
        <w:top w:val="none" w:sz="0" w:space="0" w:color="auto"/>
        <w:left w:val="none" w:sz="0" w:space="0" w:color="auto"/>
        <w:bottom w:val="none" w:sz="0" w:space="0" w:color="auto"/>
        <w:right w:val="none" w:sz="0" w:space="0" w:color="auto"/>
      </w:divBdr>
    </w:div>
    <w:div w:id="1629357483">
      <w:bodyDiv w:val="1"/>
      <w:marLeft w:val="0"/>
      <w:marRight w:val="0"/>
      <w:marTop w:val="0"/>
      <w:marBottom w:val="0"/>
      <w:divBdr>
        <w:top w:val="none" w:sz="0" w:space="0" w:color="auto"/>
        <w:left w:val="none" w:sz="0" w:space="0" w:color="auto"/>
        <w:bottom w:val="none" w:sz="0" w:space="0" w:color="auto"/>
        <w:right w:val="none" w:sz="0" w:space="0" w:color="auto"/>
      </w:divBdr>
    </w:div>
    <w:div w:id="1650984795">
      <w:bodyDiv w:val="1"/>
      <w:marLeft w:val="0"/>
      <w:marRight w:val="0"/>
      <w:marTop w:val="0"/>
      <w:marBottom w:val="0"/>
      <w:divBdr>
        <w:top w:val="none" w:sz="0" w:space="0" w:color="auto"/>
        <w:left w:val="none" w:sz="0" w:space="0" w:color="auto"/>
        <w:bottom w:val="none" w:sz="0" w:space="0" w:color="auto"/>
        <w:right w:val="none" w:sz="0" w:space="0" w:color="auto"/>
      </w:divBdr>
    </w:div>
    <w:div w:id="1814789101">
      <w:bodyDiv w:val="1"/>
      <w:marLeft w:val="0"/>
      <w:marRight w:val="0"/>
      <w:marTop w:val="0"/>
      <w:marBottom w:val="0"/>
      <w:divBdr>
        <w:top w:val="none" w:sz="0" w:space="0" w:color="auto"/>
        <w:left w:val="none" w:sz="0" w:space="0" w:color="auto"/>
        <w:bottom w:val="none" w:sz="0" w:space="0" w:color="auto"/>
        <w:right w:val="none" w:sz="0" w:space="0" w:color="auto"/>
      </w:divBdr>
      <w:divsChild>
        <w:div w:id="577784797">
          <w:marLeft w:val="1714"/>
          <w:marRight w:val="0"/>
          <w:marTop w:val="0"/>
          <w:marBottom w:val="120"/>
          <w:divBdr>
            <w:top w:val="none" w:sz="0" w:space="0" w:color="auto"/>
            <w:left w:val="none" w:sz="0" w:space="0" w:color="auto"/>
            <w:bottom w:val="none" w:sz="0" w:space="0" w:color="auto"/>
            <w:right w:val="none" w:sz="0" w:space="0" w:color="auto"/>
          </w:divBdr>
        </w:div>
      </w:divsChild>
    </w:div>
    <w:div w:id="1973486035">
      <w:bodyDiv w:val="1"/>
      <w:marLeft w:val="0"/>
      <w:marRight w:val="0"/>
      <w:marTop w:val="0"/>
      <w:marBottom w:val="0"/>
      <w:divBdr>
        <w:top w:val="none" w:sz="0" w:space="0" w:color="auto"/>
        <w:left w:val="none" w:sz="0" w:space="0" w:color="auto"/>
        <w:bottom w:val="none" w:sz="0" w:space="0" w:color="auto"/>
        <w:right w:val="none" w:sz="0" w:space="0" w:color="auto"/>
      </w:divBdr>
    </w:div>
    <w:div w:id="2131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racialequityalliance.org/wp-content/uploads/2015/10/GARE-Racial_Equity_Toolkit.pdf" TargetMode="External"/><Relationship Id="rId18" Type="http://schemas.openxmlformats.org/officeDocument/2006/relationships/hyperlink" Target="https://www.urban.org/sites/default/files/publication/97426/family-centered_approaches_to_workforce_program_services_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urban.org/sites/default/files/publication/97426/family-centered_approaches_to_workforce_program_services_4.pdf" TargetMode="External"/><Relationship Id="rId2" Type="http://schemas.openxmlformats.org/officeDocument/2006/relationships/numbering" Target="numbering.xml"/><Relationship Id="rId16" Type="http://schemas.openxmlformats.org/officeDocument/2006/relationships/hyperlink" Target="https://www.clasp.org/publications/fact-sheet/wioa-performance-targets-incentives-improve-workforce-services-individuals" TargetMode="External"/><Relationship Id="rId20" Type="http://schemas.openxmlformats.org/officeDocument/2006/relationships/hyperlink" Target="https://www.heartlandalliance.org/now-more-than-ever-we-need-to-create-tauma-informed-workpla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diversity.ucsf.edu/resources/strategies-address-unconscious-bias"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ion.workforcegps.org/resources/2016/10/12/11/24/Customer_Centered_Design"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racialequitytools.org/act/communicating/implicit-bi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eartlandalliance.org/five-things-public-workforce-systems-should-do-now-to-advance-racial-equity/" TargetMode="External"/><Relationship Id="rId3" Type="http://schemas.openxmlformats.org/officeDocument/2006/relationships/hyperlink" Target="https://www.heartlandalliance.org/five-things-public-workforce-systems-should-do-now-to-advance-racial-equity/" TargetMode="External"/><Relationship Id="rId7" Type="http://schemas.openxmlformats.org/officeDocument/2006/relationships/hyperlink" Target="https://wdr.doleta.gov/directives/corr_doc.cfm?DOCN=8675" TargetMode="External"/><Relationship Id="rId2" Type="http://schemas.openxmlformats.org/officeDocument/2006/relationships/hyperlink" Target="https://www.heartlandalliance.org/five-things-public-workforce-systems-should-do-now-to-advance-racial-equity/" TargetMode="External"/><Relationship Id="rId1" Type="http://schemas.openxmlformats.org/officeDocument/2006/relationships/hyperlink" Target="https://www.heartlandalliance.org/five-things-public-workforce-systems-should-do-now-to-advance-racial-equity/" TargetMode="External"/><Relationship Id="rId6" Type="http://schemas.openxmlformats.org/officeDocument/2006/relationships/hyperlink" Target="https://www.urban.org/sites/default/files/publication/97426/family-centered_approaches_to_workforce_program_services_4.pdf" TargetMode="External"/><Relationship Id="rId5" Type="http://schemas.openxmlformats.org/officeDocument/2006/relationships/hyperlink" Target="https://www.urban.org/sites/default/files/publication/97426/family-centered_approaches_to_workforce_program_services_4.pdf" TargetMode="External"/><Relationship Id="rId4" Type="http://schemas.openxmlformats.org/officeDocument/2006/relationships/hyperlink" Target="https://www.clasp.org/publications/fact-sheet/wioa-performance-targets-incentives-improve-workforce-services-individuals"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6DDF52-0665-443C-9A23-37BBD1054639}" type="doc">
      <dgm:prSet loTypeId="urn:microsoft.com/office/officeart/2005/8/layout/chevron1" loCatId="process" qsTypeId="urn:microsoft.com/office/officeart/2005/8/quickstyle/simple1" qsCatId="simple" csTypeId="urn:microsoft.com/office/officeart/2005/8/colors/colorful1" csCatId="colorful" phldr="1"/>
      <dgm:spPr/>
    </dgm:pt>
    <dgm:pt modelId="{F1328530-58CA-4DC3-B515-D84672339FB2}">
      <dgm:prSet phldrT="[Text]"/>
      <dgm:spPr>
        <a:solidFill>
          <a:srgbClr val="ED7D31"/>
        </a:solidFill>
      </dgm:spPr>
      <dgm:t>
        <a:bodyPr/>
        <a:lstStyle/>
        <a:p>
          <a:r>
            <a:rPr lang="en-US"/>
            <a:t>Recruitment</a:t>
          </a:r>
        </a:p>
      </dgm:t>
    </dgm:pt>
    <dgm:pt modelId="{E12FB3D7-A72B-4847-BFAA-B8447E9FFCB9}" type="parTrans" cxnId="{4B17E61F-E0AD-402A-AF5C-ADC0A17B4426}">
      <dgm:prSet/>
      <dgm:spPr/>
      <dgm:t>
        <a:bodyPr/>
        <a:lstStyle/>
        <a:p>
          <a:endParaRPr lang="en-US"/>
        </a:p>
      </dgm:t>
    </dgm:pt>
    <dgm:pt modelId="{54F044D7-38BB-4019-A4EC-AA74ABC9580A}" type="sibTrans" cxnId="{4B17E61F-E0AD-402A-AF5C-ADC0A17B4426}">
      <dgm:prSet/>
      <dgm:spPr/>
      <dgm:t>
        <a:bodyPr/>
        <a:lstStyle/>
        <a:p>
          <a:endParaRPr lang="en-US"/>
        </a:p>
      </dgm:t>
    </dgm:pt>
    <dgm:pt modelId="{929C732C-08E0-4126-AC43-C872F8B26738}">
      <dgm:prSet phldrT="[Text]"/>
      <dgm:spPr/>
      <dgm:t>
        <a:bodyPr/>
        <a:lstStyle/>
        <a:p>
          <a:r>
            <a:rPr lang="en-US">
              <a:solidFill>
                <a:srgbClr val="FFFFFF"/>
              </a:solidFill>
            </a:rPr>
            <a:t>Enrollment</a:t>
          </a:r>
        </a:p>
      </dgm:t>
    </dgm:pt>
    <dgm:pt modelId="{578A75A8-561D-402B-885D-2860C88DCC2C}" type="parTrans" cxnId="{75D881AE-C10E-4095-8957-8280FE15385B}">
      <dgm:prSet/>
      <dgm:spPr/>
      <dgm:t>
        <a:bodyPr/>
        <a:lstStyle/>
        <a:p>
          <a:endParaRPr lang="en-US"/>
        </a:p>
      </dgm:t>
    </dgm:pt>
    <dgm:pt modelId="{B757AD95-19E0-41F9-9F84-B9AA5F49DD16}" type="sibTrans" cxnId="{75D881AE-C10E-4095-8957-8280FE15385B}">
      <dgm:prSet/>
      <dgm:spPr/>
      <dgm:t>
        <a:bodyPr/>
        <a:lstStyle/>
        <a:p>
          <a:endParaRPr lang="en-US"/>
        </a:p>
      </dgm:t>
    </dgm:pt>
    <dgm:pt modelId="{27407F58-2264-4129-BE64-D0EAEBFF982D}">
      <dgm:prSet phldrT="[Text]"/>
      <dgm:spPr>
        <a:solidFill>
          <a:srgbClr val="FFC000"/>
        </a:solidFill>
      </dgm:spPr>
      <dgm:t>
        <a:bodyPr/>
        <a:lstStyle/>
        <a:p>
          <a:r>
            <a:rPr lang="en-US"/>
            <a:t>Career Counseling/Job Search</a:t>
          </a:r>
        </a:p>
      </dgm:t>
    </dgm:pt>
    <dgm:pt modelId="{B94D0130-F6B0-4ABE-AB53-1FFC8B18A8A7}" type="parTrans" cxnId="{3FD54577-8FDC-4D70-B45D-95D349869470}">
      <dgm:prSet/>
      <dgm:spPr/>
      <dgm:t>
        <a:bodyPr/>
        <a:lstStyle/>
        <a:p>
          <a:endParaRPr lang="en-US"/>
        </a:p>
      </dgm:t>
    </dgm:pt>
    <dgm:pt modelId="{17DB5272-DDE7-4F5C-93BA-0C0D33987598}" type="sibTrans" cxnId="{3FD54577-8FDC-4D70-B45D-95D349869470}">
      <dgm:prSet/>
      <dgm:spPr/>
      <dgm:t>
        <a:bodyPr/>
        <a:lstStyle/>
        <a:p>
          <a:endParaRPr lang="en-US"/>
        </a:p>
      </dgm:t>
    </dgm:pt>
    <dgm:pt modelId="{55BEDA7F-FA44-470E-A433-83E76F0D3530}">
      <dgm:prSet phldrT="[Text]"/>
      <dgm:spPr>
        <a:solidFill>
          <a:srgbClr val="5B9BD5"/>
        </a:solidFill>
      </dgm:spPr>
      <dgm:t>
        <a:bodyPr/>
        <a:lstStyle/>
        <a:p>
          <a:r>
            <a:rPr lang="en-US"/>
            <a:t>Job Training</a:t>
          </a:r>
        </a:p>
      </dgm:t>
    </dgm:pt>
    <dgm:pt modelId="{64839B7F-8117-4680-B23D-10BCFA9C53D8}" type="parTrans" cxnId="{6B3EEB94-4A47-42BC-87C8-78A0D6038E01}">
      <dgm:prSet/>
      <dgm:spPr/>
      <dgm:t>
        <a:bodyPr/>
        <a:lstStyle/>
        <a:p>
          <a:endParaRPr lang="en-US"/>
        </a:p>
      </dgm:t>
    </dgm:pt>
    <dgm:pt modelId="{004DCC52-1A8A-4C7B-8D98-B7B23D1B9646}" type="sibTrans" cxnId="{6B3EEB94-4A47-42BC-87C8-78A0D6038E01}">
      <dgm:prSet/>
      <dgm:spPr/>
      <dgm:t>
        <a:bodyPr/>
        <a:lstStyle/>
        <a:p>
          <a:endParaRPr lang="en-US"/>
        </a:p>
      </dgm:t>
    </dgm:pt>
    <dgm:pt modelId="{29357CAB-E96A-45A8-8116-52DF21469DFE}">
      <dgm:prSet phldrT="[Text]"/>
      <dgm:spPr>
        <a:solidFill>
          <a:srgbClr val="70AD47"/>
        </a:solidFill>
      </dgm:spPr>
      <dgm:t>
        <a:bodyPr/>
        <a:lstStyle/>
        <a:p>
          <a:r>
            <a:rPr lang="en-US"/>
            <a:t>Job Placement</a:t>
          </a:r>
        </a:p>
      </dgm:t>
    </dgm:pt>
    <dgm:pt modelId="{142FC8DD-B1FB-481B-B1E8-40167C493988}" type="parTrans" cxnId="{5E3E1B37-D27E-48A2-956A-63ADBBCDC7F2}">
      <dgm:prSet/>
      <dgm:spPr/>
      <dgm:t>
        <a:bodyPr/>
        <a:lstStyle/>
        <a:p>
          <a:endParaRPr lang="en-US"/>
        </a:p>
      </dgm:t>
    </dgm:pt>
    <dgm:pt modelId="{26CA0127-E14C-4708-853E-0A5DC1820A34}" type="sibTrans" cxnId="{5E3E1B37-D27E-48A2-956A-63ADBBCDC7F2}">
      <dgm:prSet/>
      <dgm:spPr/>
      <dgm:t>
        <a:bodyPr/>
        <a:lstStyle/>
        <a:p>
          <a:endParaRPr lang="en-US"/>
        </a:p>
      </dgm:t>
    </dgm:pt>
    <dgm:pt modelId="{ACEC9556-A0A4-4740-8F84-298426BE4E60}" type="pres">
      <dgm:prSet presAssocID="{8E6DDF52-0665-443C-9A23-37BBD1054639}" presName="Name0" presStyleCnt="0">
        <dgm:presLayoutVars>
          <dgm:dir/>
          <dgm:animLvl val="lvl"/>
          <dgm:resizeHandles val="exact"/>
        </dgm:presLayoutVars>
      </dgm:prSet>
      <dgm:spPr/>
    </dgm:pt>
    <dgm:pt modelId="{D6ADAF16-B8FF-4E88-9654-6A2EF8E0F469}" type="pres">
      <dgm:prSet presAssocID="{F1328530-58CA-4DC3-B515-D84672339FB2}" presName="parTxOnly" presStyleLbl="node1" presStyleIdx="0" presStyleCnt="5">
        <dgm:presLayoutVars>
          <dgm:chMax val="0"/>
          <dgm:chPref val="0"/>
          <dgm:bulletEnabled val="1"/>
        </dgm:presLayoutVars>
      </dgm:prSet>
      <dgm:spPr/>
    </dgm:pt>
    <dgm:pt modelId="{D762FE43-32F4-4B81-A7F4-4F159671DE3A}" type="pres">
      <dgm:prSet presAssocID="{54F044D7-38BB-4019-A4EC-AA74ABC9580A}" presName="parTxOnlySpace" presStyleCnt="0"/>
      <dgm:spPr/>
    </dgm:pt>
    <dgm:pt modelId="{A6D483E3-F723-4135-BEB2-3404ECC4B1E0}" type="pres">
      <dgm:prSet presAssocID="{929C732C-08E0-4126-AC43-C872F8B26738}" presName="parTxOnly" presStyleLbl="node1" presStyleIdx="1" presStyleCnt="5">
        <dgm:presLayoutVars>
          <dgm:chMax val="0"/>
          <dgm:chPref val="0"/>
          <dgm:bulletEnabled val="1"/>
        </dgm:presLayoutVars>
      </dgm:prSet>
      <dgm:spPr/>
    </dgm:pt>
    <dgm:pt modelId="{2837ECC5-ACA8-4C41-A691-B855F231FB4B}" type="pres">
      <dgm:prSet presAssocID="{B757AD95-19E0-41F9-9F84-B9AA5F49DD16}" presName="parTxOnlySpace" presStyleCnt="0"/>
      <dgm:spPr/>
    </dgm:pt>
    <dgm:pt modelId="{2FBD484E-3EE2-4559-8951-7F4E8210A6CE}" type="pres">
      <dgm:prSet presAssocID="{27407F58-2264-4129-BE64-D0EAEBFF982D}" presName="parTxOnly" presStyleLbl="node1" presStyleIdx="2" presStyleCnt="5">
        <dgm:presLayoutVars>
          <dgm:chMax val="0"/>
          <dgm:chPref val="0"/>
          <dgm:bulletEnabled val="1"/>
        </dgm:presLayoutVars>
      </dgm:prSet>
      <dgm:spPr/>
    </dgm:pt>
    <dgm:pt modelId="{DC77E123-3248-4E9F-9DA5-E0B24FC83CC1}" type="pres">
      <dgm:prSet presAssocID="{17DB5272-DDE7-4F5C-93BA-0C0D33987598}" presName="parTxOnlySpace" presStyleCnt="0"/>
      <dgm:spPr/>
    </dgm:pt>
    <dgm:pt modelId="{9918F144-0E3B-417F-A49E-893744579EFE}" type="pres">
      <dgm:prSet presAssocID="{55BEDA7F-FA44-470E-A433-83E76F0D3530}" presName="parTxOnly" presStyleLbl="node1" presStyleIdx="3" presStyleCnt="5">
        <dgm:presLayoutVars>
          <dgm:chMax val="0"/>
          <dgm:chPref val="0"/>
          <dgm:bulletEnabled val="1"/>
        </dgm:presLayoutVars>
      </dgm:prSet>
      <dgm:spPr/>
    </dgm:pt>
    <dgm:pt modelId="{68E07B18-E4CE-4DDF-A58E-7D152A2D9BAB}" type="pres">
      <dgm:prSet presAssocID="{004DCC52-1A8A-4C7B-8D98-B7B23D1B9646}" presName="parTxOnlySpace" presStyleCnt="0"/>
      <dgm:spPr/>
    </dgm:pt>
    <dgm:pt modelId="{101CF7D2-7F4E-4620-B32B-B60595B235CD}" type="pres">
      <dgm:prSet presAssocID="{29357CAB-E96A-45A8-8116-52DF21469DFE}" presName="parTxOnly" presStyleLbl="node1" presStyleIdx="4" presStyleCnt="5">
        <dgm:presLayoutVars>
          <dgm:chMax val="0"/>
          <dgm:chPref val="0"/>
          <dgm:bulletEnabled val="1"/>
        </dgm:presLayoutVars>
      </dgm:prSet>
      <dgm:spPr/>
    </dgm:pt>
  </dgm:ptLst>
  <dgm:cxnLst>
    <dgm:cxn modelId="{4B17E61F-E0AD-402A-AF5C-ADC0A17B4426}" srcId="{8E6DDF52-0665-443C-9A23-37BBD1054639}" destId="{F1328530-58CA-4DC3-B515-D84672339FB2}" srcOrd="0" destOrd="0" parTransId="{E12FB3D7-A72B-4847-BFAA-B8447E9FFCB9}" sibTransId="{54F044D7-38BB-4019-A4EC-AA74ABC9580A}"/>
    <dgm:cxn modelId="{942A1734-E8DD-4AD9-B2E3-8094AEE46449}" type="presOf" srcId="{F1328530-58CA-4DC3-B515-D84672339FB2}" destId="{D6ADAF16-B8FF-4E88-9654-6A2EF8E0F469}" srcOrd="0" destOrd="0" presId="urn:microsoft.com/office/officeart/2005/8/layout/chevron1"/>
    <dgm:cxn modelId="{5E3E1B37-D27E-48A2-956A-63ADBBCDC7F2}" srcId="{8E6DDF52-0665-443C-9A23-37BBD1054639}" destId="{29357CAB-E96A-45A8-8116-52DF21469DFE}" srcOrd="4" destOrd="0" parTransId="{142FC8DD-B1FB-481B-B1E8-40167C493988}" sibTransId="{26CA0127-E14C-4708-853E-0A5DC1820A34}"/>
    <dgm:cxn modelId="{3FD54577-8FDC-4D70-B45D-95D349869470}" srcId="{8E6DDF52-0665-443C-9A23-37BBD1054639}" destId="{27407F58-2264-4129-BE64-D0EAEBFF982D}" srcOrd="2" destOrd="0" parTransId="{B94D0130-F6B0-4ABE-AB53-1FFC8B18A8A7}" sibTransId="{17DB5272-DDE7-4F5C-93BA-0C0D33987598}"/>
    <dgm:cxn modelId="{6B3EEB94-4A47-42BC-87C8-78A0D6038E01}" srcId="{8E6DDF52-0665-443C-9A23-37BBD1054639}" destId="{55BEDA7F-FA44-470E-A433-83E76F0D3530}" srcOrd="3" destOrd="0" parTransId="{64839B7F-8117-4680-B23D-10BCFA9C53D8}" sibTransId="{004DCC52-1A8A-4C7B-8D98-B7B23D1B9646}"/>
    <dgm:cxn modelId="{DF7775A2-B69A-4294-B85D-D79EA1554AAD}" type="presOf" srcId="{929C732C-08E0-4126-AC43-C872F8B26738}" destId="{A6D483E3-F723-4135-BEB2-3404ECC4B1E0}" srcOrd="0" destOrd="0" presId="urn:microsoft.com/office/officeart/2005/8/layout/chevron1"/>
    <dgm:cxn modelId="{472DECAD-E5C0-470C-B71B-BB58E8848FED}" type="presOf" srcId="{27407F58-2264-4129-BE64-D0EAEBFF982D}" destId="{2FBD484E-3EE2-4559-8951-7F4E8210A6CE}" srcOrd="0" destOrd="0" presId="urn:microsoft.com/office/officeart/2005/8/layout/chevron1"/>
    <dgm:cxn modelId="{75D881AE-C10E-4095-8957-8280FE15385B}" srcId="{8E6DDF52-0665-443C-9A23-37BBD1054639}" destId="{929C732C-08E0-4126-AC43-C872F8B26738}" srcOrd="1" destOrd="0" parTransId="{578A75A8-561D-402B-885D-2860C88DCC2C}" sibTransId="{B757AD95-19E0-41F9-9F84-B9AA5F49DD16}"/>
    <dgm:cxn modelId="{F0067AB1-2118-42D2-9714-27C5E458D351}" type="presOf" srcId="{29357CAB-E96A-45A8-8116-52DF21469DFE}" destId="{101CF7D2-7F4E-4620-B32B-B60595B235CD}" srcOrd="0" destOrd="0" presId="urn:microsoft.com/office/officeart/2005/8/layout/chevron1"/>
    <dgm:cxn modelId="{056947F2-293E-4919-A6CC-B7477263C9EC}" type="presOf" srcId="{8E6DDF52-0665-443C-9A23-37BBD1054639}" destId="{ACEC9556-A0A4-4740-8F84-298426BE4E60}" srcOrd="0" destOrd="0" presId="urn:microsoft.com/office/officeart/2005/8/layout/chevron1"/>
    <dgm:cxn modelId="{8F9E3DF4-A701-42C7-8214-EF0971E6AC88}" type="presOf" srcId="{55BEDA7F-FA44-470E-A433-83E76F0D3530}" destId="{9918F144-0E3B-417F-A49E-893744579EFE}" srcOrd="0" destOrd="0" presId="urn:microsoft.com/office/officeart/2005/8/layout/chevron1"/>
    <dgm:cxn modelId="{6B7775EA-FAE1-4333-BB60-CDEC4EB2D691}" type="presParOf" srcId="{ACEC9556-A0A4-4740-8F84-298426BE4E60}" destId="{D6ADAF16-B8FF-4E88-9654-6A2EF8E0F469}" srcOrd="0" destOrd="0" presId="urn:microsoft.com/office/officeart/2005/8/layout/chevron1"/>
    <dgm:cxn modelId="{08A33713-8B1D-477F-BD36-11F57C798F95}" type="presParOf" srcId="{ACEC9556-A0A4-4740-8F84-298426BE4E60}" destId="{D762FE43-32F4-4B81-A7F4-4F159671DE3A}" srcOrd="1" destOrd="0" presId="urn:microsoft.com/office/officeart/2005/8/layout/chevron1"/>
    <dgm:cxn modelId="{0C3D515F-1B52-4051-A6C1-789B91A8BE0A}" type="presParOf" srcId="{ACEC9556-A0A4-4740-8F84-298426BE4E60}" destId="{A6D483E3-F723-4135-BEB2-3404ECC4B1E0}" srcOrd="2" destOrd="0" presId="urn:microsoft.com/office/officeart/2005/8/layout/chevron1"/>
    <dgm:cxn modelId="{C0E796D9-C31E-4CDB-A0F8-7FD21588A1C8}" type="presParOf" srcId="{ACEC9556-A0A4-4740-8F84-298426BE4E60}" destId="{2837ECC5-ACA8-4C41-A691-B855F231FB4B}" srcOrd="3" destOrd="0" presId="urn:microsoft.com/office/officeart/2005/8/layout/chevron1"/>
    <dgm:cxn modelId="{88C851E5-9384-4731-8495-63B36F37CFB5}" type="presParOf" srcId="{ACEC9556-A0A4-4740-8F84-298426BE4E60}" destId="{2FBD484E-3EE2-4559-8951-7F4E8210A6CE}" srcOrd="4" destOrd="0" presId="urn:microsoft.com/office/officeart/2005/8/layout/chevron1"/>
    <dgm:cxn modelId="{E9FA7F7E-7B7D-4721-922F-32EA3446533A}" type="presParOf" srcId="{ACEC9556-A0A4-4740-8F84-298426BE4E60}" destId="{DC77E123-3248-4E9F-9DA5-E0B24FC83CC1}" srcOrd="5" destOrd="0" presId="urn:microsoft.com/office/officeart/2005/8/layout/chevron1"/>
    <dgm:cxn modelId="{FA34E55C-CC4A-485B-8FE1-E665968A1C77}" type="presParOf" srcId="{ACEC9556-A0A4-4740-8F84-298426BE4E60}" destId="{9918F144-0E3B-417F-A49E-893744579EFE}" srcOrd="6" destOrd="0" presId="urn:microsoft.com/office/officeart/2005/8/layout/chevron1"/>
    <dgm:cxn modelId="{A00174B9-A8CA-4CAD-AE9D-7295AB2A946A}" type="presParOf" srcId="{ACEC9556-A0A4-4740-8F84-298426BE4E60}" destId="{68E07B18-E4CE-4DDF-A58E-7D152A2D9BAB}" srcOrd="7" destOrd="0" presId="urn:microsoft.com/office/officeart/2005/8/layout/chevron1"/>
    <dgm:cxn modelId="{46862FD3-C4E0-4E7E-ACB2-F12587C4BD95}" type="presParOf" srcId="{ACEC9556-A0A4-4740-8F84-298426BE4E60}" destId="{101CF7D2-7F4E-4620-B32B-B60595B235CD}"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ADAF16-B8FF-4E88-9654-6A2EF8E0F469}">
      <dsp:nvSpPr>
        <dsp:cNvPr id="0" name=""/>
        <dsp:cNvSpPr/>
      </dsp:nvSpPr>
      <dsp:spPr>
        <a:xfrm>
          <a:off x="2082" y="52421"/>
          <a:ext cx="1853294" cy="741317"/>
        </a:xfrm>
        <a:prstGeom prst="chevron">
          <a:avLst/>
        </a:prstGeom>
        <a:solidFill>
          <a:srgbClr val="ED7D3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kern="1200"/>
            <a:t>Recruitment</a:t>
          </a:r>
        </a:p>
      </dsp:txBody>
      <dsp:txXfrm>
        <a:off x="372741" y="52421"/>
        <a:ext cx="1111977" cy="741317"/>
      </dsp:txXfrm>
    </dsp:sp>
    <dsp:sp modelId="{A6D483E3-F723-4135-BEB2-3404ECC4B1E0}">
      <dsp:nvSpPr>
        <dsp:cNvPr id="0" name=""/>
        <dsp:cNvSpPr/>
      </dsp:nvSpPr>
      <dsp:spPr>
        <a:xfrm>
          <a:off x="1670047" y="52421"/>
          <a:ext cx="1853294" cy="741317"/>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kern="1200">
              <a:solidFill>
                <a:srgbClr val="FFFFFF"/>
              </a:solidFill>
            </a:rPr>
            <a:t>Enrollment</a:t>
          </a:r>
        </a:p>
      </dsp:txBody>
      <dsp:txXfrm>
        <a:off x="2040706" y="52421"/>
        <a:ext cx="1111977" cy="741317"/>
      </dsp:txXfrm>
    </dsp:sp>
    <dsp:sp modelId="{2FBD484E-3EE2-4559-8951-7F4E8210A6CE}">
      <dsp:nvSpPr>
        <dsp:cNvPr id="0" name=""/>
        <dsp:cNvSpPr/>
      </dsp:nvSpPr>
      <dsp:spPr>
        <a:xfrm>
          <a:off x="3338012" y="52421"/>
          <a:ext cx="1853294" cy="741317"/>
        </a:xfrm>
        <a:prstGeom prst="chevron">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kern="1200"/>
            <a:t>Career Counseling/Job Search</a:t>
          </a:r>
        </a:p>
      </dsp:txBody>
      <dsp:txXfrm>
        <a:off x="3708671" y="52421"/>
        <a:ext cx="1111977" cy="741317"/>
      </dsp:txXfrm>
    </dsp:sp>
    <dsp:sp modelId="{9918F144-0E3B-417F-A49E-893744579EFE}">
      <dsp:nvSpPr>
        <dsp:cNvPr id="0" name=""/>
        <dsp:cNvSpPr/>
      </dsp:nvSpPr>
      <dsp:spPr>
        <a:xfrm>
          <a:off x="5005977" y="52421"/>
          <a:ext cx="1853294" cy="741317"/>
        </a:xfrm>
        <a:prstGeom prst="chevron">
          <a:avLst/>
        </a:prstGeom>
        <a:solidFill>
          <a:srgbClr val="5B9BD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kern="1200"/>
            <a:t>Job Training</a:t>
          </a:r>
        </a:p>
      </dsp:txBody>
      <dsp:txXfrm>
        <a:off x="5376636" y="52421"/>
        <a:ext cx="1111977" cy="741317"/>
      </dsp:txXfrm>
    </dsp:sp>
    <dsp:sp modelId="{101CF7D2-7F4E-4620-B32B-B60595B235CD}">
      <dsp:nvSpPr>
        <dsp:cNvPr id="0" name=""/>
        <dsp:cNvSpPr/>
      </dsp:nvSpPr>
      <dsp:spPr>
        <a:xfrm>
          <a:off x="6673943" y="52421"/>
          <a:ext cx="1853294" cy="741317"/>
        </a:xfrm>
        <a:prstGeom prst="chevron">
          <a:avLst/>
        </a:prstGeom>
        <a:solidFill>
          <a:srgbClr val="70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US" sz="1300" kern="1200"/>
            <a:t>Job Placement</a:t>
          </a:r>
        </a:p>
      </dsp:txBody>
      <dsp:txXfrm>
        <a:off x="7044602" y="52421"/>
        <a:ext cx="1111977" cy="74131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2106-D2A5-4A5B-B1DD-5CA84587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Gina</dc:creator>
  <cp:keywords/>
  <dc:description/>
  <cp:lastModifiedBy>Wells, Gina</cp:lastModifiedBy>
  <cp:revision>2</cp:revision>
  <dcterms:created xsi:type="dcterms:W3CDTF">2021-10-03T18:24:00Z</dcterms:created>
  <dcterms:modified xsi:type="dcterms:W3CDTF">2021-10-03T18:24:00Z</dcterms:modified>
</cp:coreProperties>
</file>