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7872A" w14:textId="77777777" w:rsidR="00951C70" w:rsidRPr="00954652" w:rsidRDefault="00951C70">
      <w:pPr>
        <w:rPr>
          <w:b/>
          <w:sz w:val="23"/>
          <w:szCs w:val="23"/>
          <w:u w:val="single"/>
        </w:rPr>
      </w:pPr>
      <w:bookmarkStart w:id="0" w:name="_GoBack"/>
      <w:bookmarkEnd w:id="0"/>
    </w:p>
    <w:p w14:paraId="6F6931AB" w14:textId="77777777" w:rsidR="00951C70" w:rsidRPr="00954652" w:rsidRDefault="00BD0A59">
      <w:pPr>
        <w:rPr>
          <w:b/>
          <w:sz w:val="23"/>
          <w:szCs w:val="23"/>
          <w:u w:val="single"/>
        </w:rPr>
      </w:pPr>
      <w:r w:rsidRPr="00954652">
        <w:rPr>
          <w:b/>
          <w:sz w:val="23"/>
          <w:szCs w:val="23"/>
          <w:u w:val="single"/>
        </w:rPr>
        <w:t>Background</w:t>
      </w:r>
    </w:p>
    <w:p w14:paraId="31A35E0A" w14:textId="77777777" w:rsidR="00951C70" w:rsidRPr="00954652" w:rsidRDefault="00BD0A59" w:rsidP="00C75EC6">
      <w:pPr>
        <w:jc w:val="both"/>
        <w:rPr>
          <w:color w:val="000000"/>
          <w:sz w:val="23"/>
          <w:szCs w:val="23"/>
        </w:rPr>
      </w:pPr>
      <w:r w:rsidRPr="00954652">
        <w:rPr>
          <w:sz w:val="23"/>
          <w:szCs w:val="23"/>
        </w:rPr>
        <w:t xml:space="preserve">Governor Pritzker has a strong agenda for ensuring that economic prosperity reaches underserved communities and creates opportunities across the state for all citizens by removing barriers for economically disadvantaged populations.  Two avenues exist to move these priorities forward; </w:t>
      </w:r>
      <w:r w:rsidRPr="00954652">
        <w:rPr>
          <w:color w:val="000000"/>
          <w:sz w:val="23"/>
          <w:szCs w:val="23"/>
        </w:rPr>
        <w:t xml:space="preserve">the response to Governor Pritzker’s Executive Order 2019-03 - </w:t>
      </w:r>
      <w:hyperlink r:id="rId7">
        <w:r w:rsidRPr="00954652">
          <w:rPr>
            <w:color w:val="1155CC"/>
            <w:sz w:val="23"/>
            <w:szCs w:val="23"/>
            <w:u w:val="single"/>
          </w:rPr>
          <w:t>An Action Agenda for Workforce Development and Job Creation</w:t>
        </w:r>
      </w:hyperlink>
      <w:r w:rsidRPr="00954652">
        <w:rPr>
          <w:color w:val="000000"/>
          <w:sz w:val="23"/>
          <w:szCs w:val="23"/>
        </w:rPr>
        <w:t xml:space="preserve"> and the priorities within </w:t>
      </w:r>
      <w:hyperlink r:id="rId8">
        <w:r w:rsidRPr="00954652">
          <w:rPr>
            <w:color w:val="1155CC"/>
            <w:sz w:val="23"/>
            <w:szCs w:val="23"/>
            <w:u w:val="single"/>
          </w:rPr>
          <w:t>A Plan to Revitalize the Illinois Economy and Build the Workforce of the Future</w:t>
        </w:r>
      </w:hyperlink>
      <w:r w:rsidRPr="00954652">
        <w:rPr>
          <w:color w:val="000000"/>
          <w:sz w:val="23"/>
          <w:szCs w:val="23"/>
        </w:rPr>
        <w:t xml:space="preserve">.  Both rely on data-driven approaches to establish goals and inform policy that will reduce equity gaps.  Building on this direction, both the WIOA Unified Plan and the Perkins State Plan have guiding principles for equitable access and opportunity for all populations.  </w:t>
      </w:r>
    </w:p>
    <w:p w14:paraId="635B7548" w14:textId="77777777" w:rsidR="00951C70" w:rsidRPr="00954652" w:rsidRDefault="00951C70">
      <w:pPr>
        <w:rPr>
          <w:color w:val="000000"/>
          <w:sz w:val="23"/>
          <w:szCs w:val="23"/>
        </w:rPr>
      </w:pPr>
    </w:p>
    <w:p w14:paraId="46AF2838" w14:textId="77777777" w:rsidR="00951C70" w:rsidRPr="00954652" w:rsidRDefault="00BD0A59">
      <w:pPr>
        <w:rPr>
          <w:b/>
          <w:sz w:val="23"/>
          <w:szCs w:val="23"/>
          <w:u w:val="single"/>
        </w:rPr>
      </w:pPr>
      <w:r w:rsidRPr="00954652">
        <w:rPr>
          <w:b/>
          <w:sz w:val="23"/>
          <w:szCs w:val="23"/>
          <w:u w:val="single"/>
        </w:rPr>
        <w:t>Implementation</w:t>
      </w:r>
    </w:p>
    <w:p w14:paraId="48A6B6BF" w14:textId="77777777" w:rsidR="00951C70" w:rsidRPr="00954652" w:rsidRDefault="00BD0A59" w:rsidP="00C75EC6">
      <w:pPr>
        <w:jc w:val="both"/>
        <w:rPr>
          <w:sz w:val="23"/>
          <w:szCs w:val="23"/>
        </w:rPr>
      </w:pPr>
      <w:r w:rsidRPr="00954652">
        <w:rPr>
          <w:sz w:val="23"/>
          <w:szCs w:val="23"/>
        </w:rPr>
        <w:t xml:space="preserve">As equitable access is a fundamental principle within the WIOA Unified Plan as well as a high priority of the Governor, a Task Force made up of businesses, workforce partners, educators, and community representatives will come together to develop a framework of recommendations within Illinois’ workforce and education system to establish goals and improve inequality for the populations we serve.  </w:t>
      </w:r>
    </w:p>
    <w:p w14:paraId="3EBDA563" w14:textId="77777777" w:rsidR="00951C70" w:rsidRPr="00954652" w:rsidRDefault="00951C70">
      <w:pPr>
        <w:rPr>
          <w:sz w:val="23"/>
          <w:szCs w:val="23"/>
        </w:rPr>
      </w:pPr>
    </w:p>
    <w:p w14:paraId="0C7EA54E" w14:textId="77777777" w:rsidR="00951C70" w:rsidRPr="00954652" w:rsidRDefault="00BD0A59">
      <w:pPr>
        <w:rPr>
          <w:sz w:val="23"/>
          <w:szCs w:val="23"/>
        </w:rPr>
      </w:pPr>
      <w:r w:rsidRPr="00954652">
        <w:rPr>
          <w:sz w:val="23"/>
          <w:szCs w:val="23"/>
        </w:rPr>
        <w:t>Ways in which a Task Force under the direction of the IWIB will address equity and inform policy, include:</w:t>
      </w:r>
    </w:p>
    <w:p w14:paraId="719848BF" w14:textId="77777777" w:rsidR="00951C70" w:rsidRPr="00954652" w:rsidRDefault="00BD0A59">
      <w:pPr>
        <w:numPr>
          <w:ilvl w:val="0"/>
          <w:numId w:val="1"/>
        </w:numPr>
        <w:pBdr>
          <w:top w:val="nil"/>
          <w:left w:val="nil"/>
          <w:bottom w:val="nil"/>
          <w:right w:val="nil"/>
          <w:between w:val="nil"/>
        </w:pBdr>
        <w:spacing w:line="276" w:lineRule="auto"/>
        <w:rPr>
          <w:color w:val="000000"/>
          <w:sz w:val="23"/>
          <w:szCs w:val="23"/>
        </w:rPr>
      </w:pPr>
      <w:r w:rsidRPr="00954652">
        <w:rPr>
          <w:color w:val="000000"/>
          <w:sz w:val="23"/>
          <w:szCs w:val="23"/>
        </w:rPr>
        <w:t>creating shared definitions for a set of key terms addressing equity,</w:t>
      </w:r>
    </w:p>
    <w:p w14:paraId="7A2BB60D" w14:textId="77777777" w:rsidR="00951C70" w:rsidRPr="00954652" w:rsidRDefault="00BD0A59">
      <w:pPr>
        <w:numPr>
          <w:ilvl w:val="0"/>
          <w:numId w:val="1"/>
        </w:numPr>
        <w:pBdr>
          <w:top w:val="nil"/>
          <w:left w:val="nil"/>
          <w:bottom w:val="nil"/>
          <w:right w:val="nil"/>
          <w:between w:val="nil"/>
        </w:pBdr>
        <w:spacing w:line="276" w:lineRule="auto"/>
        <w:rPr>
          <w:color w:val="000000"/>
          <w:sz w:val="23"/>
          <w:szCs w:val="23"/>
        </w:rPr>
      </w:pPr>
      <w:r w:rsidRPr="00954652">
        <w:rPr>
          <w:color w:val="000000"/>
          <w:sz w:val="23"/>
          <w:szCs w:val="23"/>
        </w:rPr>
        <w:t>developing education and workforce tools that can track program access and outcomes-and that disaggregate data by race, gender, and target population to reveal disparities in policies and programs.</w:t>
      </w:r>
    </w:p>
    <w:p w14:paraId="79F41BDC" w14:textId="77777777" w:rsidR="00951C70" w:rsidRPr="00954652" w:rsidRDefault="00BD0A59">
      <w:pPr>
        <w:numPr>
          <w:ilvl w:val="0"/>
          <w:numId w:val="1"/>
        </w:numPr>
        <w:pBdr>
          <w:top w:val="nil"/>
          <w:left w:val="nil"/>
          <w:bottom w:val="nil"/>
          <w:right w:val="nil"/>
          <w:between w:val="nil"/>
        </w:pBdr>
        <w:spacing w:line="276" w:lineRule="auto"/>
        <w:rPr>
          <w:color w:val="000000"/>
          <w:sz w:val="23"/>
          <w:szCs w:val="23"/>
        </w:rPr>
      </w:pPr>
      <w:r w:rsidRPr="00954652">
        <w:rPr>
          <w:color w:val="000000"/>
          <w:sz w:val="23"/>
          <w:szCs w:val="23"/>
        </w:rPr>
        <w:t xml:space="preserve">examining programs, policies, and practices and then infuse issues of equity and inclusion into these programs, policies, and practices, </w:t>
      </w:r>
    </w:p>
    <w:p w14:paraId="24DDD2F7" w14:textId="77777777" w:rsidR="00951C70" w:rsidRPr="00954652" w:rsidRDefault="00BD0A59">
      <w:pPr>
        <w:numPr>
          <w:ilvl w:val="0"/>
          <w:numId w:val="1"/>
        </w:numPr>
        <w:pBdr>
          <w:top w:val="nil"/>
          <w:left w:val="nil"/>
          <w:bottom w:val="nil"/>
          <w:right w:val="nil"/>
          <w:between w:val="nil"/>
        </w:pBdr>
        <w:spacing w:line="276" w:lineRule="auto"/>
        <w:rPr>
          <w:color w:val="000000"/>
          <w:sz w:val="23"/>
          <w:szCs w:val="23"/>
        </w:rPr>
      </w:pPr>
      <w:r w:rsidRPr="00954652">
        <w:rPr>
          <w:color w:val="000000"/>
          <w:sz w:val="23"/>
          <w:szCs w:val="23"/>
        </w:rPr>
        <w:t>establishing equity goals for the system and</w:t>
      </w:r>
    </w:p>
    <w:p w14:paraId="6CF313F0" w14:textId="77777777" w:rsidR="00951C70" w:rsidRPr="00954652" w:rsidRDefault="00BD0A59">
      <w:pPr>
        <w:numPr>
          <w:ilvl w:val="0"/>
          <w:numId w:val="1"/>
        </w:numPr>
        <w:pBdr>
          <w:top w:val="nil"/>
          <w:left w:val="nil"/>
          <w:bottom w:val="nil"/>
          <w:right w:val="nil"/>
          <w:between w:val="nil"/>
        </w:pBdr>
        <w:spacing w:after="200" w:line="276" w:lineRule="auto"/>
        <w:rPr>
          <w:color w:val="000000"/>
          <w:sz w:val="23"/>
          <w:szCs w:val="23"/>
        </w:rPr>
      </w:pPr>
      <w:r w:rsidRPr="00954652">
        <w:rPr>
          <w:color w:val="000000"/>
          <w:sz w:val="23"/>
          <w:szCs w:val="23"/>
        </w:rPr>
        <w:t>making recommendations regarding inclusive and diverse approaches including professional development of staff to ensure they use an equity lens in serving their diverse populations.</w:t>
      </w:r>
    </w:p>
    <w:p w14:paraId="4450BF98" w14:textId="77777777" w:rsidR="00951C70" w:rsidRDefault="00951C70">
      <w:pPr>
        <w:rPr>
          <w:u w:val="single"/>
        </w:rPr>
        <w:sectPr w:rsidR="00951C70">
          <w:footerReference w:type="default" r:id="rId9"/>
          <w:headerReference w:type="first" r:id="rId10"/>
          <w:footerReference w:type="first" r:id="rId11"/>
          <w:pgSz w:w="12240" w:h="15840"/>
          <w:pgMar w:top="994" w:right="1080" w:bottom="1440" w:left="1080" w:header="720" w:footer="720" w:gutter="0"/>
          <w:pgNumType w:start="1"/>
          <w:cols w:space="720" w:equalWidth="0">
            <w:col w:w="9360"/>
          </w:cols>
          <w:titlePg/>
        </w:sectPr>
      </w:pPr>
    </w:p>
    <w:p w14:paraId="68D30927" w14:textId="77777777" w:rsidR="00951C70" w:rsidRDefault="00951C70"/>
    <w:sectPr w:rsidR="00951C70">
      <w:headerReference w:type="even" r:id="rId12"/>
      <w:headerReference w:type="default" r:id="rId13"/>
      <w:footerReference w:type="default" r:id="rId14"/>
      <w:headerReference w:type="first" r:id="rId15"/>
      <w:type w:val="continuous"/>
      <w:pgSz w:w="12240" w:h="15840"/>
      <w:pgMar w:top="994" w:right="1080" w:bottom="1440" w:left="108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B626F" w14:textId="77777777" w:rsidR="008C4A7F" w:rsidRDefault="008C4A7F">
      <w:r>
        <w:separator/>
      </w:r>
    </w:p>
  </w:endnote>
  <w:endnote w:type="continuationSeparator" w:id="0">
    <w:p w14:paraId="407215A5" w14:textId="77777777" w:rsidR="008C4A7F" w:rsidRDefault="008C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Quattrocento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AEF11" w14:textId="5B07B177" w:rsidR="00951C70" w:rsidRDefault="00BD0A5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961DD">
      <w:rPr>
        <w:noProof/>
        <w:color w:val="000000"/>
      </w:rPr>
      <w:t>2</w:t>
    </w:r>
    <w:r>
      <w:rPr>
        <w:color w:val="000000"/>
      </w:rPr>
      <w:fldChar w:fldCharType="end"/>
    </w:r>
  </w:p>
  <w:p w14:paraId="23D20A7D" w14:textId="77777777" w:rsidR="00951C70" w:rsidRDefault="00951C70">
    <w:pPr>
      <w:pBdr>
        <w:top w:val="nil"/>
        <w:left w:val="nil"/>
        <w:bottom w:val="nil"/>
        <w:right w:val="nil"/>
        <w:between w:val="nil"/>
      </w:pBdr>
      <w:tabs>
        <w:tab w:val="center" w:pos="4320"/>
        <w:tab w:val="right" w:pos="864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88D1" w14:textId="77777777" w:rsidR="00951C70" w:rsidRDefault="00BD0A59">
    <w:pPr>
      <w:pBdr>
        <w:top w:val="nil"/>
        <w:left w:val="nil"/>
        <w:bottom w:val="nil"/>
        <w:right w:val="nil"/>
        <w:between w:val="nil"/>
      </w:pBdr>
      <w:tabs>
        <w:tab w:val="center" w:pos="4320"/>
        <w:tab w:val="right" w:pos="8640"/>
      </w:tabs>
      <w:rPr>
        <w:i/>
        <w:color w:val="000000"/>
        <w:sz w:val="18"/>
        <w:szCs w:val="18"/>
      </w:rPr>
    </w:pPr>
    <w:r>
      <w:rPr>
        <w:rFonts w:ascii="Quattrocento Sans" w:eastAsia="Quattrocento Sans" w:hAnsi="Quattrocento Sans" w:cs="Quattrocento Sans"/>
        <w:i/>
        <w:color w:val="333333"/>
        <w:sz w:val="18"/>
        <w:szCs w:val="18"/>
        <w:shd w:val="clear" w:color="auto" w:fill="EFEFEF"/>
      </w:rPr>
      <w:t>The Illinois workNet Center System, an American Job Center is an equal opportunity employer/program.  Auxiliary aids and services are available upon request to individuals with disabilities. All voice telephone numbers on this website may be reached by persons using TTY/TDD equipment by calling TTY (800) 526-0844 or 711. </w:t>
    </w:r>
    <w:r>
      <w:rPr>
        <w:noProof/>
      </w:rPr>
      <w:drawing>
        <wp:anchor distT="0" distB="0" distL="114300" distR="114300" simplePos="0" relativeHeight="251659264" behindDoc="0" locked="0" layoutInCell="1" hidden="0" allowOverlap="1" wp14:anchorId="4A1362C0" wp14:editId="64C04833">
          <wp:simplePos x="0" y="0"/>
          <wp:positionH relativeFrom="column">
            <wp:posOffset>5618480</wp:posOffset>
          </wp:positionH>
          <wp:positionV relativeFrom="paragraph">
            <wp:posOffset>331470</wp:posOffset>
          </wp:positionV>
          <wp:extent cx="1250950" cy="57086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50950" cy="570865"/>
                  </a:xfrm>
                  <a:prstGeom prst="rect">
                    <a:avLst/>
                  </a:prstGeom>
                  <a:ln/>
                </pic:spPr>
              </pic:pic>
            </a:graphicData>
          </a:graphic>
        </wp:anchor>
      </w:drawing>
    </w:r>
  </w:p>
  <w:p w14:paraId="4C989723" w14:textId="77777777" w:rsidR="00951C70" w:rsidRDefault="00951C70">
    <w:pPr>
      <w:pBdr>
        <w:top w:val="nil"/>
        <w:left w:val="nil"/>
        <w:bottom w:val="nil"/>
        <w:right w:val="nil"/>
        <w:between w:val="nil"/>
      </w:pBdr>
      <w:tabs>
        <w:tab w:val="center" w:pos="4320"/>
        <w:tab w:val="right" w:pos="8640"/>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0DE5" w14:textId="77777777" w:rsidR="00951C70" w:rsidRDefault="00BD0A59">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286BE17C" w14:textId="77777777" w:rsidR="00951C70" w:rsidRDefault="00951C70">
    <w:pPr>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504D4" w14:textId="77777777" w:rsidR="008C4A7F" w:rsidRDefault="008C4A7F">
      <w:r>
        <w:separator/>
      </w:r>
    </w:p>
  </w:footnote>
  <w:footnote w:type="continuationSeparator" w:id="0">
    <w:p w14:paraId="331A8B7E" w14:textId="77777777" w:rsidR="008C4A7F" w:rsidRDefault="008C4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F2FE6" w14:textId="3E390CEF" w:rsidR="00951C70" w:rsidRDefault="001961DD" w:rsidP="001961DD">
    <w:pPr>
      <w:pStyle w:val="Heading1"/>
      <w:rPr>
        <w:rFonts w:ascii="Calibri" w:eastAsia="Calibri" w:hAnsi="Calibri" w:cs="Calibri"/>
        <w:sz w:val="24"/>
        <w:szCs w:val="24"/>
      </w:rPr>
    </w:pPr>
    <w:r>
      <w:rPr>
        <w:rFonts w:ascii="Helvetica Neue" w:hAnsi="Helvetica Neue"/>
        <w:noProof/>
        <w:color w:val="000000"/>
        <w:sz w:val="22"/>
        <w:szCs w:val="22"/>
        <w:bdr w:val="none" w:sz="0" w:space="0" w:color="auto" w:frame="1"/>
      </w:rPr>
      <w:drawing>
        <wp:inline distT="0" distB="0" distL="0" distR="0" wp14:anchorId="5A1580A3" wp14:editId="05F4CFF9">
          <wp:extent cx="262890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257300"/>
                  </a:xfrm>
                  <a:prstGeom prst="rect">
                    <a:avLst/>
                  </a:prstGeom>
                  <a:noFill/>
                  <a:ln>
                    <a:noFill/>
                  </a:ln>
                </pic:spPr>
              </pic:pic>
            </a:graphicData>
          </a:graphic>
        </wp:inline>
      </w:drawing>
    </w:r>
  </w:p>
  <w:p w14:paraId="77EC162B" w14:textId="77777777" w:rsidR="001961DD" w:rsidRDefault="001961DD">
    <w:pPr>
      <w:pStyle w:val="Heading1"/>
      <w:rPr>
        <w:rFonts w:ascii="Calibri" w:eastAsia="Calibri" w:hAnsi="Calibri" w:cs="Calibri"/>
        <w:sz w:val="24"/>
        <w:szCs w:val="24"/>
      </w:rPr>
    </w:pPr>
  </w:p>
  <w:p w14:paraId="28DD3724" w14:textId="310DC284" w:rsidR="00951C70" w:rsidRDefault="00BD0A59">
    <w:pPr>
      <w:pStyle w:val="Heading1"/>
      <w:rPr>
        <w:rFonts w:ascii="Calibri" w:eastAsia="Calibri" w:hAnsi="Calibri" w:cs="Calibri"/>
        <w:sz w:val="24"/>
        <w:szCs w:val="24"/>
      </w:rPr>
    </w:pPr>
    <w:r>
      <w:rPr>
        <w:rFonts w:ascii="Calibri" w:eastAsia="Calibri" w:hAnsi="Calibri" w:cs="Calibri"/>
        <w:sz w:val="24"/>
        <w:szCs w:val="24"/>
      </w:rPr>
      <w:t>Illinois Workforce Innovation Board</w:t>
    </w:r>
  </w:p>
  <w:p w14:paraId="4999167A" w14:textId="77777777" w:rsidR="00951C70" w:rsidRDefault="00BD0A59">
    <w:pPr>
      <w:pStyle w:val="Heading1"/>
      <w:tabs>
        <w:tab w:val="right" w:pos="9360"/>
      </w:tabs>
      <w:jc w:val="left"/>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John Rico, Co-Chair</w:t>
    </w:r>
  </w:p>
  <w:p w14:paraId="11001B38" w14:textId="77777777" w:rsidR="00951C70" w:rsidRDefault="00BD0A59">
    <w:pPr>
      <w:pStyle w:val="Heading4"/>
      <w:tabs>
        <w:tab w:val="right" w:pos="9360"/>
      </w:tabs>
      <w:rPr>
        <w:rFonts w:ascii="Calibri" w:eastAsia="Calibri" w:hAnsi="Calibri" w:cs="Calibri"/>
      </w:rPr>
    </w:pPr>
    <w:r>
      <w:rPr>
        <w:rFonts w:ascii="Calibri" w:eastAsia="Calibri" w:hAnsi="Calibri" w:cs="Calibri"/>
      </w:rPr>
      <w:t>JB Pritzker, Governor</w:t>
    </w:r>
    <w:r>
      <w:rPr>
        <w:rFonts w:ascii="Calibri" w:eastAsia="Calibri" w:hAnsi="Calibri" w:cs="Calibri"/>
      </w:rPr>
      <w:tab/>
      <w:t>Erin Guthrie, Co-Chair</w:t>
    </w:r>
  </w:p>
  <w:p w14:paraId="4C20DF1A" w14:textId="77777777" w:rsidR="00951C70" w:rsidRDefault="00BD0A59">
    <w:pPr>
      <w:pStyle w:val="Heading4"/>
      <w:tabs>
        <w:tab w:val="right" w:pos="9360"/>
      </w:tabs>
      <w:rPr>
        <w:rFonts w:ascii="Calibri" w:eastAsia="Calibri" w:hAnsi="Calibri" w:cs="Calibri"/>
      </w:rPr>
    </w:pPr>
    <w:r>
      <w:rPr>
        <w:rFonts w:ascii="Calibri" w:eastAsia="Calibri" w:hAnsi="Calibri" w:cs="Calibri"/>
      </w:rPr>
      <w:tab/>
    </w:r>
  </w:p>
  <w:p w14:paraId="241BC549" w14:textId="77777777" w:rsidR="00951C70" w:rsidRDefault="00BD0A59">
    <w:pPr>
      <w:pBdr>
        <w:top w:val="nil"/>
        <w:left w:val="nil"/>
        <w:bottom w:val="nil"/>
        <w:right w:val="nil"/>
        <w:between w:val="nil"/>
      </w:pBdr>
      <w:tabs>
        <w:tab w:val="center" w:pos="4680"/>
        <w:tab w:val="right" w:pos="9360"/>
      </w:tabs>
      <w:jc w:val="center"/>
      <w:rPr>
        <w:rFonts w:ascii="Cambria" w:eastAsia="Cambria" w:hAnsi="Cambria" w:cs="Cambria"/>
        <w:b/>
        <w:color w:val="000000"/>
        <w:sz w:val="28"/>
        <w:szCs w:val="28"/>
      </w:rPr>
    </w:pPr>
    <w:r>
      <w:rPr>
        <w:rFonts w:ascii="Cambria" w:eastAsia="Cambria" w:hAnsi="Cambria" w:cs="Cambria"/>
        <w:b/>
        <w:color w:val="000000"/>
        <w:sz w:val="28"/>
        <w:szCs w:val="28"/>
        <w:u w:val="single"/>
      </w:rPr>
      <w:t>Equity Task Force Overview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E2D9" w14:textId="77777777" w:rsidR="00951C70" w:rsidRDefault="00951C7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A951" w14:textId="77777777" w:rsidR="00951C70" w:rsidRDefault="00BD0A59">
    <w:pPr>
      <w:pBdr>
        <w:top w:val="nil"/>
        <w:left w:val="nil"/>
        <w:bottom w:val="nil"/>
        <w:right w:val="nil"/>
        <w:between w:val="nil"/>
      </w:pBdr>
      <w:tabs>
        <w:tab w:val="center" w:pos="4680"/>
        <w:tab w:val="right" w:pos="9360"/>
      </w:tabs>
      <w:rPr>
        <w:b/>
        <w:color w:val="777777"/>
        <w:sz w:val="16"/>
        <w:szCs w:val="16"/>
      </w:rPr>
    </w:pPr>
    <w:r>
      <w:rPr>
        <w:b/>
        <w:color w:val="777777"/>
        <w:sz w:val="20"/>
        <w:szCs w:val="20"/>
      </w:rPr>
      <w:t>I</w:t>
    </w:r>
    <w:r>
      <w:rPr>
        <w:b/>
        <w:color w:val="777777"/>
        <w:sz w:val="16"/>
        <w:szCs w:val="16"/>
      </w:rPr>
      <w:t xml:space="preserve">NTEGRATION </w:t>
    </w:r>
    <w:r>
      <w:rPr>
        <w:b/>
        <w:color w:val="777777"/>
        <w:sz w:val="20"/>
        <w:szCs w:val="20"/>
      </w:rPr>
      <w:t>C</w:t>
    </w:r>
    <w:r>
      <w:rPr>
        <w:b/>
        <w:color w:val="777777"/>
        <w:sz w:val="16"/>
        <w:szCs w:val="16"/>
      </w:rPr>
      <w:t xml:space="preserve">ONTINUUM </w:t>
    </w:r>
    <w:r>
      <w:rPr>
        <w:b/>
        <w:color w:val="777777"/>
        <w:sz w:val="20"/>
        <w:szCs w:val="20"/>
      </w:rPr>
      <w:t>S</w:t>
    </w:r>
    <w:r>
      <w:rPr>
        <w:b/>
        <w:color w:val="777777"/>
        <w:sz w:val="16"/>
        <w:szCs w:val="16"/>
      </w:rPr>
      <w:t>ELF</w:t>
    </w:r>
    <w:r>
      <w:rPr>
        <w:b/>
        <w:color w:val="777777"/>
        <w:sz w:val="20"/>
        <w:szCs w:val="20"/>
      </w:rPr>
      <w:t>-A</w:t>
    </w:r>
    <w:r>
      <w:rPr>
        <w:b/>
        <w:color w:val="777777"/>
        <w:sz w:val="16"/>
        <w:szCs w:val="16"/>
      </w:rPr>
      <w:t>SSESSMENT PARTNERS LIST</w:t>
    </w:r>
  </w:p>
  <w:p w14:paraId="4052743F" w14:textId="77777777" w:rsidR="00951C70" w:rsidRDefault="00951C70">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6EDF" w14:textId="77777777" w:rsidR="00951C70" w:rsidRDefault="00951C7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B3EC2"/>
    <w:multiLevelType w:val="multilevel"/>
    <w:tmpl w:val="9F9A6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70"/>
    <w:rsid w:val="001961DD"/>
    <w:rsid w:val="00216D68"/>
    <w:rsid w:val="0058418E"/>
    <w:rsid w:val="00620980"/>
    <w:rsid w:val="007B7E4B"/>
    <w:rsid w:val="008059F1"/>
    <w:rsid w:val="00867A8A"/>
    <w:rsid w:val="008C4A7F"/>
    <w:rsid w:val="00951C70"/>
    <w:rsid w:val="00954652"/>
    <w:rsid w:val="00BD0A59"/>
    <w:rsid w:val="00C75EC6"/>
    <w:rsid w:val="00DD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E81D"/>
  <w15:docId w15:val="{7BE9F6CF-CDDB-4130-909C-B5637D8E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ahoma" w:eastAsia="Tahoma" w:hAnsi="Tahoma" w:cs="Tahoma"/>
      <w:b/>
      <w:sz w:val="32"/>
      <w:szCs w:val="32"/>
    </w:rPr>
  </w:style>
  <w:style w:type="paragraph" w:styleId="Heading2">
    <w:name w:val="heading 2"/>
    <w:basedOn w:val="Normal"/>
    <w:next w:val="Normal"/>
    <w:uiPriority w:val="9"/>
    <w:unhideWhenUsed/>
    <w:qFormat/>
    <w:pPr>
      <w:keepNext/>
      <w:jc w:val="center"/>
      <w:outlineLvl w:val="1"/>
    </w:pPr>
    <w:rPr>
      <w:rFonts w:ascii="Tahoma" w:eastAsia="Tahoma" w:hAnsi="Tahoma" w:cs="Tahoma"/>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outlineLvl w:val="3"/>
    </w:pPr>
    <w:rPr>
      <w:rFonts w:ascii="Tahoma" w:eastAsia="Tahoma" w:hAnsi="Tahoma" w:cs="Tahoma"/>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961DD"/>
    <w:pPr>
      <w:tabs>
        <w:tab w:val="center" w:pos="4680"/>
        <w:tab w:val="right" w:pos="9360"/>
      </w:tabs>
    </w:pPr>
  </w:style>
  <w:style w:type="character" w:customStyle="1" w:styleId="HeaderChar">
    <w:name w:val="Header Char"/>
    <w:basedOn w:val="DefaultParagraphFont"/>
    <w:link w:val="Header"/>
    <w:uiPriority w:val="99"/>
    <w:rsid w:val="001961DD"/>
  </w:style>
  <w:style w:type="paragraph" w:styleId="Footer">
    <w:name w:val="footer"/>
    <w:basedOn w:val="Normal"/>
    <w:link w:val="FooterChar"/>
    <w:uiPriority w:val="99"/>
    <w:unhideWhenUsed/>
    <w:rsid w:val="001961DD"/>
    <w:pPr>
      <w:tabs>
        <w:tab w:val="center" w:pos="4680"/>
        <w:tab w:val="right" w:pos="9360"/>
      </w:tabs>
    </w:pPr>
  </w:style>
  <w:style w:type="character" w:customStyle="1" w:styleId="FooterChar">
    <w:name w:val="Footer Char"/>
    <w:basedOn w:val="DefaultParagraphFont"/>
    <w:link w:val="Footer"/>
    <w:uiPriority w:val="99"/>
    <w:rsid w:val="00196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2.illinois.gov/dceo/Documents/IllinoisEconomicPlan2019ExecSumm.10.8.201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2.illinois.gov/dceo/whyillinois/Documents/EO3_Full_Report_04.14.19.pd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Terah</dc:creator>
  <cp:lastModifiedBy>Cook, Molly</cp:lastModifiedBy>
  <cp:revision>2</cp:revision>
  <dcterms:created xsi:type="dcterms:W3CDTF">2020-10-22T17:48:00Z</dcterms:created>
  <dcterms:modified xsi:type="dcterms:W3CDTF">2020-10-22T17:48:00Z</dcterms:modified>
</cp:coreProperties>
</file>