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941CAC" w14:textId="77777777" w:rsidR="00F2415C" w:rsidRDefault="00F2415C" w:rsidP="00F2415C">
      <w:pPr>
        <w:pStyle w:val="NoSpacing"/>
        <w:jc w:val="center"/>
        <w:rPr>
          <w:b/>
          <w:bCs/>
        </w:rPr>
      </w:pPr>
      <w:r>
        <w:rPr>
          <w:b/>
          <w:bCs/>
        </w:rPr>
        <w:t>Amendment to an American Job Center Reopening Plan</w:t>
      </w:r>
    </w:p>
    <w:p w14:paraId="7B1CA1D6" w14:textId="77777777" w:rsidR="00F2415C" w:rsidRPr="00950BC2" w:rsidRDefault="00F2415C" w:rsidP="00F2415C">
      <w:pPr>
        <w:pStyle w:val="NoSpacing"/>
        <w:jc w:val="center"/>
        <w:rPr>
          <w:b/>
          <w:bCs/>
        </w:rPr>
      </w:pPr>
      <w:r>
        <w:rPr>
          <w:b/>
          <w:bCs/>
        </w:rPr>
        <w:t>Under WIOA Notice 20-NOT-09</w:t>
      </w:r>
    </w:p>
    <w:p w14:paraId="14798728" w14:textId="77777777" w:rsidR="00F2415C" w:rsidRDefault="00F2415C" w:rsidP="00F2415C">
      <w:pPr>
        <w:spacing w:after="0" w:line="240" w:lineRule="auto"/>
        <w:rPr>
          <w:rFonts w:cs="Times New Roman"/>
          <w:szCs w:val="24"/>
        </w:rPr>
      </w:pPr>
    </w:p>
    <w:p w14:paraId="1542B91D" w14:textId="77777777" w:rsidR="00F2415C" w:rsidRDefault="00F2415C" w:rsidP="00F2415C">
      <w:pPr>
        <w:spacing w:after="0" w:line="240" w:lineRule="auto"/>
        <w:rPr>
          <w:rFonts w:cs="Times New Roman"/>
          <w:szCs w:val="24"/>
        </w:rPr>
      </w:pPr>
      <w:r w:rsidRPr="00230612">
        <w:rPr>
          <w:rFonts w:cs="Times New Roman"/>
          <w:szCs w:val="24"/>
        </w:rPr>
        <w:t xml:space="preserve">The </w:t>
      </w:r>
      <w:hyperlink r:id="rId5" w:history="1">
        <w:r w:rsidRPr="00230612">
          <w:rPr>
            <w:rStyle w:val="Hyperlink"/>
            <w:rFonts w:cs="Times New Roman"/>
            <w:szCs w:val="24"/>
          </w:rPr>
          <w:t>Required Form to Document a Local Reopening Plan for American Job Centers</w:t>
        </w:r>
      </w:hyperlink>
      <w:r w:rsidRPr="00230612">
        <w:rPr>
          <w:rFonts w:cs="Times New Roman"/>
          <w:szCs w:val="24"/>
        </w:rPr>
        <w:t xml:space="preserve"> must include </w:t>
      </w:r>
      <w:r>
        <w:rPr>
          <w:rFonts w:cs="Times New Roman"/>
          <w:szCs w:val="24"/>
        </w:rPr>
        <w:t xml:space="preserve">this completed </w:t>
      </w:r>
      <w:r w:rsidRPr="00230612">
        <w:rPr>
          <w:rFonts w:cs="Times New Roman"/>
          <w:szCs w:val="24"/>
        </w:rPr>
        <w:t xml:space="preserve">and agreed upon </w:t>
      </w:r>
      <w:r>
        <w:rPr>
          <w:rFonts w:cs="Times New Roman"/>
          <w:szCs w:val="24"/>
        </w:rPr>
        <w:t>Amendment form each time substantive changes to service delivery or staffing commitment are made throughout a program year.</w:t>
      </w:r>
    </w:p>
    <w:p w14:paraId="3BC44E20" w14:textId="77777777" w:rsidR="00F2415C" w:rsidRDefault="00F2415C" w:rsidP="00F2415C">
      <w:pPr>
        <w:spacing w:after="0" w:line="240" w:lineRule="auto"/>
        <w:rPr>
          <w:rFonts w:cs="Times New Roman"/>
          <w:szCs w:val="24"/>
        </w:rPr>
      </w:pPr>
    </w:p>
    <w:p w14:paraId="74F5EB20" w14:textId="77777777" w:rsidR="00F2415C" w:rsidRPr="00230612" w:rsidRDefault="00F2415C" w:rsidP="00F2415C">
      <w:pPr>
        <w:spacing w:after="0" w:line="240" w:lineRule="auto"/>
        <w:rPr>
          <w:rFonts w:cs="Times New Roman"/>
          <w:szCs w:val="24"/>
        </w:rPr>
      </w:pPr>
      <w:r>
        <w:rPr>
          <w:rFonts w:cs="Times New Roman"/>
          <w:szCs w:val="24"/>
        </w:rPr>
        <w:t xml:space="preserve">All </w:t>
      </w:r>
      <w:r w:rsidRPr="00230612">
        <w:rPr>
          <w:rFonts w:cs="Times New Roman"/>
          <w:szCs w:val="24"/>
        </w:rPr>
        <w:t>required program partners, including State Agency directors or designees of state-administered programs</w:t>
      </w:r>
      <w:r>
        <w:rPr>
          <w:rFonts w:cs="Times New Roman"/>
          <w:szCs w:val="24"/>
        </w:rPr>
        <w:t>, if applicable</w:t>
      </w:r>
      <w:r w:rsidRPr="00230612">
        <w:rPr>
          <w:rFonts w:cs="Times New Roman"/>
          <w:szCs w:val="24"/>
        </w:rPr>
        <w:t xml:space="preserve">, </w:t>
      </w:r>
      <w:r>
        <w:rPr>
          <w:rFonts w:cs="Times New Roman"/>
          <w:szCs w:val="24"/>
        </w:rPr>
        <w:t xml:space="preserve">must </w:t>
      </w:r>
      <w:r w:rsidRPr="00230612">
        <w:rPr>
          <w:rFonts w:cs="Times New Roman"/>
          <w:szCs w:val="24"/>
        </w:rPr>
        <w:t xml:space="preserve">agree to </w:t>
      </w:r>
      <w:r>
        <w:rPr>
          <w:rFonts w:cs="Times New Roman"/>
          <w:szCs w:val="24"/>
        </w:rPr>
        <w:t>responses in this Amendment form before announcing and implementing the amended reopening plan.</w:t>
      </w:r>
    </w:p>
    <w:p w14:paraId="194A3219" w14:textId="77777777" w:rsidR="00F2415C" w:rsidRDefault="00F2415C" w:rsidP="00F2415C">
      <w:pPr>
        <w:pStyle w:val="ListParagraph"/>
        <w:spacing w:after="0" w:line="240" w:lineRule="auto"/>
        <w:ind w:left="1440"/>
        <w:rPr>
          <w:rFonts w:cs="Times New Roman"/>
          <w:szCs w:val="24"/>
        </w:rPr>
      </w:pPr>
    </w:p>
    <w:tbl>
      <w:tblPr>
        <w:tblStyle w:val="TableGrid"/>
        <w:tblW w:w="0" w:type="auto"/>
        <w:tblInd w:w="-5"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4A0" w:firstRow="1" w:lastRow="0" w:firstColumn="1" w:lastColumn="0" w:noHBand="0" w:noVBand="1"/>
      </w:tblPr>
      <w:tblGrid>
        <w:gridCol w:w="9319"/>
      </w:tblGrid>
      <w:tr w:rsidR="00F2415C" w14:paraId="42BC1569" w14:textId="77777777" w:rsidTr="00051979">
        <w:tc>
          <w:tcPr>
            <w:tcW w:w="9319" w:type="dxa"/>
            <w:shd w:val="clear" w:color="auto" w:fill="D9E2F3" w:themeFill="accent1" w:themeFillTint="33"/>
          </w:tcPr>
          <w:p w14:paraId="4E70AC24" w14:textId="77777777" w:rsidR="00F2415C" w:rsidRPr="00230612" w:rsidRDefault="00F2415C" w:rsidP="00051979">
            <w:pPr>
              <w:ind w:left="334" w:hanging="334"/>
              <w:rPr>
                <w:rFonts w:cs="Times New Roman"/>
                <w:szCs w:val="24"/>
              </w:rPr>
            </w:pPr>
            <w:r w:rsidRPr="00230612">
              <w:rPr>
                <w:rFonts w:cs="Times New Roman"/>
                <w:szCs w:val="24"/>
              </w:rPr>
              <w:t>1.</w:t>
            </w:r>
            <w:r w:rsidRPr="00230612">
              <w:rPr>
                <w:rFonts w:cs="Times New Roman"/>
                <w:szCs w:val="24"/>
              </w:rPr>
              <w:tab/>
            </w:r>
            <w:r>
              <w:rPr>
                <w:rFonts w:cs="Times New Roman"/>
                <w:szCs w:val="24"/>
              </w:rPr>
              <w:t>Describe the process in which all</w:t>
            </w:r>
            <w:r w:rsidRPr="00230612">
              <w:rPr>
                <w:rFonts w:cs="Times New Roman"/>
                <w:szCs w:val="24"/>
              </w:rPr>
              <w:t xml:space="preserve"> partners reviewed and verified that the information and assurances provided in any initial reopening plan are accurate and current.</w:t>
            </w:r>
          </w:p>
          <w:p w14:paraId="5388D0B8" w14:textId="77777777" w:rsidR="00F2415C" w:rsidRDefault="00F2415C" w:rsidP="00051979">
            <w:pPr>
              <w:rPr>
                <w:rFonts w:cs="Times New Roman"/>
                <w:szCs w:val="24"/>
              </w:rPr>
            </w:pPr>
          </w:p>
        </w:tc>
      </w:tr>
      <w:tr w:rsidR="00F2415C" w14:paraId="39DE45EF" w14:textId="77777777" w:rsidTr="00051979">
        <w:tc>
          <w:tcPr>
            <w:tcW w:w="9319" w:type="dxa"/>
          </w:tcPr>
          <w:p w14:paraId="448E2C92" w14:textId="77777777" w:rsidR="00F2415C" w:rsidRDefault="00F2415C" w:rsidP="00051979">
            <w:pPr>
              <w:rPr>
                <w:rFonts w:cs="Times New Roman"/>
                <w:szCs w:val="24"/>
              </w:rPr>
            </w:pPr>
            <w:r>
              <w:rPr>
                <w:rFonts w:cs="Times New Roman"/>
                <w:szCs w:val="24"/>
              </w:rPr>
              <w:t>[type response here]</w:t>
            </w:r>
          </w:p>
          <w:p w14:paraId="1D50A533" w14:textId="77777777" w:rsidR="00F2415C" w:rsidRDefault="00F2415C" w:rsidP="00051979">
            <w:pPr>
              <w:rPr>
                <w:rFonts w:cs="Times New Roman"/>
                <w:szCs w:val="24"/>
              </w:rPr>
            </w:pPr>
          </w:p>
        </w:tc>
      </w:tr>
      <w:tr w:rsidR="00F2415C" w14:paraId="5127984E" w14:textId="77777777" w:rsidTr="00051979">
        <w:tc>
          <w:tcPr>
            <w:tcW w:w="9319" w:type="dxa"/>
            <w:shd w:val="clear" w:color="auto" w:fill="D9E2F3" w:themeFill="accent1" w:themeFillTint="33"/>
          </w:tcPr>
          <w:p w14:paraId="1F2DA257" w14:textId="77777777" w:rsidR="00F2415C" w:rsidRPr="00230612" w:rsidRDefault="00F2415C" w:rsidP="00051979">
            <w:pPr>
              <w:ind w:left="334" w:hanging="334"/>
              <w:rPr>
                <w:rFonts w:cs="Times New Roman"/>
                <w:szCs w:val="24"/>
              </w:rPr>
            </w:pPr>
            <w:r w:rsidRPr="00230612">
              <w:rPr>
                <w:rFonts w:cs="Times New Roman"/>
                <w:szCs w:val="24"/>
              </w:rPr>
              <w:t>2.</w:t>
            </w:r>
            <w:r w:rsidRPr="00230612">
              <w:rPr>
                <w:rFonts w:cs="Times New Roman"/>
                <w:szCs w:val="24"/>
              </w:rPr>
              <w:tab/>
            </w:r>
            <w:r>
              <w:rPr>
                <w:rFonts w:cs="Times New Roman"/>
                <w:szCs w:val="24"/>
              </w:rPr>
              <w:t xml:space="preserve">Explain the steps taken to ensure </w:t>
            </w:r>
            <w:r w:rsidRPr="00230612">
              <w:rPr>
                <w:rFonts w:cs="Times New Roman"/>
                <w:szCs w:val="24"/>
              </w:rPr>
              <w:t>all staff within the AJC are aware of the reopening plan and are trained on all applicable AJC procedures, especially related to the safety and security such as de-escalation training (click on the link to access a webinar recording).</w:t>
            </w:r>
          </w:p>
          <w:p w14:paraId="34B9A625" w14:textId="77777777" w:rsidR="00F2415C" w:rsidRDefault="00F2415C" w:rsidP="00051979">
            <w:pPr>
              <w:rPr>
                <w:rFonts w:cs="Times New Roman"/>
                <w:szCs w:val="24"/>
              </w:rPr>
            </w:pPr>
          </w:p>
        </w:tc>
      </w:tr>
      <w:tr w:rsidR="00F2415C" w14:paraId="710B3315" w14:textId="77777777" w:rsidTr="00051979">
        <w:tc>
          <w:tcPr>
            <w:tcW w:w="9319" w:type="dxa"/>
          </w:tcPr>
          <w:p w14:paraId="770AD162" w14:textId="77777777" w:rsidR="00F2415C" w:rsidRDefault="00F2415C" w:rsidP="00051979">
            <w:pPr>
              <w:rPr>
                <w:rFonts w:cs="Times New Roman"/>
                <w:szCs w:val="24"/>
              </w:rPr>
            </w:pPr>
            <w:r>
              <w:rPr>
                <w:rFonts w:cs="Times New Roman"/>
                <w:szCs w:val="24"/>
              </w:rPr>
              <w:t>[type response here]</w:t>
            </w:r>
          </w:p>
          <w:p w14:paraId="750F8FC3" w14:textId="77777777" w:rsidR="00F2415C" w:rsidRDefault="00F2415C" w:rsidP="00051979">
            <w:pPr>
              <w:rPr>
                <w:rFonts w:cs="Times New Roman"/>
                <w:szCs w:val="24"/>
              </w:rPr>
            </w:pPr>
          </w:p>
        </w:tc>
      </w:tr>
      <w:tr w:rsidR="00F2415C" w14:paraId="4A33C9E1" w14:textId="77777777" w:rsidTr="00051979">
        <w:tc>
          <w:tcPr>
            <w:tcW w:w="9319" w:type="dxa"/>
            <w:shd w:val="clear" w:color="auto" w:fill="D9E2F3" w:themeFill="accent1" w:themeFillTint="33"/>
          </w:tcPr>
          <w:p w14:paraId="55B3A796" w14:textId="77777777" w:rsidR="00F2415C" w:rsidRPr="00230612" w:rsidRDefault="00F2415C" w:rsidP="00051979">
            <w:pPr>
              <w:ind w:left="334" w:hanging="334"/>
              <w:rPr>
                <w:rFonts w:cs="Times New Roman"/>
                <w:szCs w:val="24"/>
              </w:rPr>
            </w:pPr>
            <w:r w:rsidRPr="00230612">
              <w:rPr>
                <w:rFonts w:cs="Times New Roman"/>
                <w:szCs w:val="24"/>
              </w:rPr>
              <w:t>3.</w:t>
            </w:r>
            <w:r w:rsidRPr="00230612">
              <w:rPr>
                <w:rFonts w:cs="Times New Roman"/>
                <w:szCs w:val="24"/>
              </w:rPr>
              <w:tab/>
              <w:t xml:space="preserve">Identify the anticipated volume of customers for walk-in services. This includes reflecting on the volume of customers </w:t>
            </w:r>
            <w:proofErr w:type="gramStart"/>
            <w:r w:rsidRPr="00230612">
              <w:rPr>
                <w:rFonts w:cs="Times New Roman"/>
                <w:szCs w:val="24"/>
              </w:rPr>
              <w:t>from pre-pandemic levels,</w:t>
            </w:r>
            <w:proofErr w:type="gramEnd"/>
            <w:r w:rsidRPr="00230612">
              <w:rPr>
                <w:rFonts w:cs="Times New Roman"/>
                <w:szCs w:val="24"/>
              </w:rPr>
              <w:t xml:space="preserve"> to current levels, to anticipated levels. Examples of information that will inform a local area of anticipated customer volume includes reviewing a combination of data points available from local sources. </w:t>
            </w:r>
            <w:r>
              <w:rPr>
                <w:rFonts w:cs="Times New Roman"/>
                <w:szCs w:val="24"/>
              </w:rPr>
              <w:t xml:space="preserve">Select the data points that are most applicable and available. </w:t>
            </w:r>
            <w:r w:rsidRPr="00230612">
              <w:rPr>
                <w:rFonts w:cs="Times New Roman"/>
                <w:szCs w:val="24"/>
              </w:rPr>
              <w:t>Data points may include but are not limited to:</w:t>
            </w:r>
          </w:p>
          <w:p w14:paraId="6831022D" w14:textId="77777777" w:rsidR="00F2415C" w:rsidRPr="00230612" w:rsidRDefault="00F2415C" w:rsidP="00051979">
            <w:pPr>
              <w:ind w:left="784" w:hanging="450"/>
              <w:rPr>
                <w:rFonts w:cs="Times New Roman"/>
                <w:szCs w:val="24"/>
              </w:rPr>
            </w:pPr>
            <w:r w:rsidRPr="00230612">
              <w:rPr>
                <w:rFonts w:cs="Times New Roman"/>
                <w:szCs w:val="24"/>
              </w:rPr>
              <w:t>a.</w:t>
            </w:r>
            <w:r w:rsidRPr="00230612">
              <w:rPr>
                <w:rFonts w:cs="Times New Roman"/>
                <w:szCs w:val="24"/>
              </w:rPr>
              <w:tab/>
              <w:t>Volume of phone calls</w:t>
            </w:r>
          </w:p>
          <w:p w14:paraId="3B2D6CA3" w14:textId="77777777" w:rsidR="00F2415C" w:rsidRPr="00230612" w:rsidRDefault="00F2415C" w:rsidP="00051979">
            <w:pPr>
              <w:ind w:left="784" w:hanging="450"/>
              <w:rPr>
                <w:rFonts w:cs="Times New Roman"/>
                <w:szCs w:val="24"/>
              </w:rPr>
            </w:pPr>
            <w:r w:rsidRPr="00230612">
              <w:rPr>
                <w:rFonts w:cs="Times New Roman"/>
                <w:szCs w:val="24"/>
              </w:rPr>
              <w:t>b.</w:t>
            </w:r>
            <w:r w:rsidRPr="00230612">
              <w:rPr>
                <w:rFonts w:cs="Times New Roman"/>
                <w:szCs w:val="24"/>
              </w:rPr>
              <w:tab/>
              <w:t xml:space="preserve">Resource Room utilization levels </w:t>
            </w:r>
          </w:p>
          <w:p w14:paraId="58AD7F75" w14:textId="77777777" w:rsidR="00F2415C" w:rsidRPr="00230612" w:rsidRDefault="00F2415C" w:rsidP="00051979">
            <w:pPr>
              <w:ind w:left="784" w:hanging="450"/>
              <w:rPr>
                <w:rFonts w:cs="Times New Roman"/>
                <w:szCs w:val="24"/>
              </w:rPr>
            </w:pPr>
            <w:r w:rsidRPr="00230612">
              <w:rPr>
                <w:rFonts w:cs="Times New Roman"/>
                <w:szCs w:val="24"/>
              </w:rPr>
              <w:t>c.</w:t>
            </w:r>
            <w:r w:rsidRPr="00230612">
              <w:rPr>
                <w:rFonts w:cs="Times New Roman"/>
                <w:szCs w:val="24"/>
              </w:rPr>
              <w:tab/>
              <w:t xml:space="preserve">Number of eligibility determinations </w:t>
            </w:r>
          </w:p>
          <w:p w14:paraId="12FF87F8" w14:textId="77777777" w:rsidR="00F2415C" w:rsidRPr="00230612" w:rsidRDefault="00F2415C" w:rsidP="00051979">
            <w:pPr>
              <w:ind w:left="784" w:hanging="450"/>
              <w:rPr>
                <w:rFonts w:cs="Times New Roman"/>
                <w:szCs w:val="24"/>
              </w:rPr>
            </w:pPr>
            <w:r w:rsidRPr="00230612">
              <w:rPr>
                <w:rFonts w:cs="Times New Roman"/>
                <w:szCs w:val="24"/>
              </w:rPr>
              <w:t>d.</w:t>
            </w:r>
            <w:r w:rsidRPr="00230612">
              <w:rPr>
                <w:rFonts w:cs="Times New Roman"/>
                <w:szCs w:val="24"/>
              </w:rPr>
              <w:tab/>
              <w:t xml:space="preserve">Number of UI filings </w:t>
            </w:r>
          </w:p>
          <w:p w14:paraId="700FEE1D" w14:textId="77777777" w:rsidR="00F2415C" w:rsidRPr="00230612" w:rsidRDefault="00F2415C" w:rsidP="00051979">
            <w:pPr>
              <w:ind w:left="784" w:hanging="450"/>
              <w:rPr>
                <w:rFonts w:cs="Times New Roman"/>
                <w:szCs w:val="24"/>
              </w:rPr>
            </w:pPr>
            <w:r w:rsidRPr="00230612">
              <w:rPr>
                <w:rFonts w:cs="Times New Roman"/>
                <w:szCs w:val="24"/>
              </w:rPr>
              <w:t>e.</w:t>
            </w:r>
            <w:r w:rsidRPr="00230612">
              <w:rPr>
                <w:rFonts w:cs="Times New Roman"/>
                <w:szCs w:val="24"/>
              </w:rPr>
              <w:tab/>
              <w:t xml:space="preserve">Number of supportive services/referrals made </w:t>
            </w:r>
          </w:p>
          <w:p w14:paraId="2E2EB124" w14:textId="77777777" w:rsidR="00F2415C" w:rsidRPr="00230612" w:rsidRDefault="00F2415C" w:rsidP="00051979">
            <w:pPr>
              <w:ind w:left="784" w:hanging="450"/>
              <w:rPr>
                <w:rFonts w:cs="Times New Roman"/>
                <w:szCs w:val="24"/>
              </w:rPr>
            </w:pPr>
            <w:r w:rsidRPr="00230612">
              <w:rPr>
                <w:rFonts w:cs="Times New Roman"/>
                <w:szCs w:val="24"/>
              </w:rPr>
              <w:t>f.</w:t>
            </w:r>
            <w:r w:rsidRPr="00230612">
              <w:rPr>
                <w:rFonts w:cs="Times New Roman"/>
                <w:szCs w:val="24"/>
              </w:rPr>
              <w:tab/>
              <w:t xml:space="preserve">Number of career planner visits </w:t>
            </w:r>
          </w:p>
          <w:p w14:paraId="504E8D6A" w14:textId="77777777" w:rsidR="00F2415C" w:rsidRPr="00230612" w:rsidRDefault="00F2415C" w:rsidP="00051979">
            <w:pPr>
              <w:ind w:left="784" w:hanging="450"/>
              <w:rPr>
                <w:rFonts w:cs="Times New Roman"/>
                <w:szCs w:val="24"/>
              </w:rPr>
            </w:pPr>
            <w:r w:rsidRPr="00230612">
              <w:rPr>
                <w:rFonts w:cs="Times New Roman"/>
                <w:szCs w:val="24"/>
              </w:rPr>
              <w:t>g.</w:t>
            </w:r>
            <w:r w:rsidRPr="00230612">
              <w:rPr>
                <w:rFonts w:cs="Times New Roman"/>
                <w:szCs w:val="24"/>
              </w:rPr>
              <w:tab/>
              <w:t xml:space="preserve">Internet utilization levels </w:t>
            </w:r>
          </w:p>
          <w:p w14:paraId="70940574" w14:textId="77777777" w:rsidR="00F2415C" w:rsidRPr="00230612" w:rsidRDefault="00F2415C" w:rsidP="00051979">
            <w:pPr>
              <w:ind w:left="784" w:hanging="450"/>
              <w:rPr>
                <w:rFonts w:cs="Times New Roman"/>
                <w:szCs w:val="24"/>
              </w:rPr>
            </w:pPr>
            <w:r w:rsidRPr="00230612">
              <w:rPr>
                <w:rFonts w:cs="Times New Roman"/>
                <w:szCs w:val="24"/>
              </w:rPr>
              <w:t>h.</w:t>
            </w:r>
            <w:r w:rsidRPr="00230612">
              <w:rPr>
                <w:rFonts w:cs="Times New Roman"/>
                <w:szCs w:val="24"/>
              </w:rPr>
              <w:tab/>
              <w:t xml:space="preserve">Description of specific unmet needs or demographics of individuals not served when walk-in services have not been available </w:t>
            </w:r>
          </w:p>
          <w:p w14:paraId="79A22D32" w14:textId="77777777" w:rsidR="00F2415C" w:rsidRPr="00230612" w:rsidRDefault="00F2415C" w:rsidP="00051979">
            <w:pPr>
              <w:ind w:left="784" w:hanging="450"/>
              <w:rPr>
                <w:rFonts w:cs="Times New Roman"/>
                <w:szCs w:val="24"/>
              </w:rPr>
            </w:pPr>
            <w:proofErr w:type="spellStart"/>
            <w:r w:rsidRPr="00230612">
              <w:rPr>
                <w:rFonts w:cs="Times New Roman"/>
                <w:szCs w:val="24"/>
              </w:rPr>
              <w:t>i</w:t>
            </w:r>
            <w:proofErr w:type="spellEnd"/>
            <w:r w:rsidRPr="00230612">
              <w:rPr>
                <w:rFonts w:cs="Times New Roman"/>
                <w:szCs w:val="24"/>
              </w:rPr>
              <w:t>.</w:t>
            </w:r>
            <w:r w:rsidRPr="00230612">
              <w:rPr>
                <w:rFonts w:cs="Times New Roman"/>
                <w:szCs w:val="24"/>
              </w:rPr>
              <w:tab/>
              <w:t xml:space="preserve">Number of new participants needed to be served or enrolled in services to meet federally required performance metrics </w:t>
            </w:r>
          </w:p>
          <w:p w14:paraId="5DACD352" w14:textId="77777777" w:rsidR="00F2415C" w:rsidRDefault="00F2415C" w:rsidP="00051979">
            <w:pPr>
              <w:rPr>
                <w:rFonts w:cs="Times New Roman"/>
                <w:szCs w:val="24"/>
              </w:rPr>
            </w:pPr>
          </w:p>
        </w:tc>
      </w:tr>
      <w:tr w:rsidR="00F2415C" w14:paraId="2D35D6B8" w14:textId="77777777" w:rsidTr="00051979">
        <w:tc>
          <w:tcPr>
            <w:tcW w:w="9319" w:type="dxa"/>
          </w:tcPr>
          <w:p w14:paraId="3FD49574" w14:textId="77777777" w:rsidR="00F2415C" w:rsidRDefault="00F2415C" w:rsidP="00051979">
            <w:pPr>
              <w:rPr>
                <w:rFonts w:cs="Times New Roman"/>
                <w:szCs w:val="24"/>
              </w:rPr>
            </w:pPr>
            <w:r>
              <w:rPr>
                <w:rFonts w:cs="Times New Roman"/>
                <w:szCs w:val="24"/>
              </w:rPr>
              <w:t>[type response here]</w:t>
            </w:r>
          </w:p>
          <w:p w14:paraId="59765F60" w14:textId="77777777" w:rsidR="00F2415C" w:rsidRDefault="00F2415C" w:rsidP="00051979">
            <w:pPr>
              <w:rPr>
                <w:rFonts w:cs="Times New Roman"/>
                <w:szCs w:val="24"/>
              </w:rPr>
            </w:pPr>
          </w:p>
        </w:tc>
      </w:tr>
      <w:tr w:rsidR="00F2415C" w14:paraId="425A206D" w14:textId="77777777" w:rsidTr="00051979">
        <w:tc>
          <w:tcPr>
            <w:tcW w:w="9319" w:type="dxa"/>
            <w:shd w:val="clear" w:color="auto" w:fill="D9E2F3" w:themeFill="accent1" w:themeFillTint="33"/>
          </w:tcPr>
          <w:p w14:paraId="057B1974" w14:textId="77777777" w:rsidR="00F2415C" w:rsidRPr="00230612" w:rsidRDefault="00F2415C" w:rsidP="00051979">
            <w:pPr>
              <w:ind w:left="334" w:hanging="334"/>
              <w:rPr>
                <w:rFonts w:cs="Times New Roman"/>
                <w:szCs w:val="24"/>
              </w:rPr>
            </w:pPr>
            <w:r w:rsidRPr="00230612">
              <w:rPr>
                <w:rFonts w:cs="Times New Roman"/>
                <w:szCs w:val="24"/>
              </w:rPr>
              <w:lastRenderedPageBreak/>
              <w:t>4.</w:t>
            </w:r>
            <w:r w:rsidRPr="00230612">
              <w:rPr>
                <w:rFonts w:cs="Times New Roman"/>
                <w:szCs w:val="24"/>
              </w:rPr>
              <w:tab/>
              <w:t xml:space="preserve">List the specific services that are planned to be made available to walk-in customers and that are agreed upon by program partners. </w:t>
            </w:r>
          </w:p>
          <w:p w14:paraId="5E8C2AFD" w14:textId="77777777" w:rsidR="00F2415C" w:rsidRDefault="00F2415C" w:rsidP="00051979">
            <w:pPr>
              <w:rPr>
                <w:rFonts w:cs="Times New Roman"/>
                <w:szCs w:val="24"/>
              </w:rPr>
            </w:pPr>
          </w:p>
        </w:tc>
      </w:tr>
      <w:tr w:rsidR="00F2415C" w14:paraId="49CCE089" w14:textId="77777777" w:rsidTr="00051979">
        <w:tc>
          <w:tcPr>
            <w:tcW w:w="9319" w:type="dxa"/>
          </w:tcPr>
          <w:p w14:paraId="169ABA62" w14:textId="77777777" w:rsidR="00F2415C" w:rsidRDefault="00F2415C" w:rsidP="00051979">
            <w:pPr>
              <w:rPr>
                <w:rFonts w:cs="Times New Roman"/>
                <w:szCs w:val="24"/>
              </w:rPr>
            </w:pPr>
            <w:r>
              <w:rPr>
                <w:rFonts w:cs="Times New Roman"/>
                <w:szCs w:val="24"/>
              </w:rPr>
              <w:t>[type response here]</w:t>
            </w:r>
          </w:p>
          <w:p w14:paraId="48ED11B3" w14:textId="77777777" w:rsidR="00F2415C" w:rsidRPr="00230612" w:rsidRDefault="00F2415C" w:rsidP="00051979">
            <w:pPr>
              <w:ind w:left="334" w:hanging="334"/>
              <w:rPr>
                <w:rFonts w:cs="Times New Roman"/>
                <w:szCs w:val="24"/>
              </w:rPr>
            </w:pPr>
          </w:p>
        </w:tc>
      </w:tr>
      <w:tr w:rsidR="00F2415C" w14:paraId="70E4CEFB" w14:textId="77777777" w:rsidTr="00051979">
        <w:tc>
          <w:tcPr>
            <w:tcW w:w="9319" w:type="dxa"/>
            <w:shd w:val="clear" w:color="auto" w:fill="D9E2F3" w:themeFill="accent1" w:themeFillTint="33"/>
          </w:tcPr>
          <w:p w14:paraId="53CEBFCF" w14:textId="77777777" w:rsidR="00F2415C" w:rsidRPr="00230612" w:rsidRDefault="00F2415C" w:rsidP="00051979">
            <w:pPr>
              <w:ind w:left="334" w:hanging="334"/>
              <w:rPr>
                <w:rFonts w:cs="Times New Roman"/>
                <w:szCs w:val="24"/>
              </w:rPr>
            </w:pPr>
            <w:r w:rsidRPr="00230612">
              <w:rPr>
                <w:rFonts w:cs="Times New Roman"/>
                <w:szCs w:val="24"/>
              </w:rPr>
              <w:t>5.</w:t>
            </w:r>
            <w:r w:rsidRPr="00230612">
              <w:rPr>
                <w:rFonts w:cs="Times New Roman"/>
                <w:szCs w:val="24"/>
              </w:rPr>
              <w:tab/>
              <w:t xml:space="preserve">Describe the agreed-upon plan for handling waiting lines outside of the AJC entrance, as well as times when public waiting areas have reached capacity limits. </w:t>
            </w:r>
          </w:p>
          <w:p w14:paraId="3DA15273" w14:textId="77777777" w:rsidR="00F2415C" w:rsidRPr="00230612" w:rsidRDefault="00F2415C" w:rsidP="00051979">
            <w:pPr>
              <w:ind w:left="334" w:hanging="334"/>
              <w:rPr>
                <w:rFonts w:cs="Times New Roman"/>
                <w:szCs w:val="24"/>
              </w:rPr>
            </w:pPr>
          </w:p>
        </w:tc>
      </w:tr>
      <w:tr w:rsidR="00F2415C" w14:paraId="34657CAC" w14:textId="77777777" w:rsidTr="00051979">
        <w:tc>
          <w:tcPr>
            <w:tcW w:w="9319" w:type="dxa"/>
          </w:tcPr>
          <w:p w14:paraId="14E55EC9" w14:textId="77777777" w:rsidR="00F2415C" w:rsidRDefault="00F2415C" w:rsidP="00051979">
            <w:pPr>
              <w:rPr>
                <w:rFonts w:cs="Times New Roman"/>
                <w:szCs w:val="24"/>
              </w:rPr>
            </w:pPr>
            <w:r>
              <w:rPr>
                <w:rFonts w:cs="Times New Roman"/>
                <w:szCs w:val="24"/>
              </w:rPr>
              <w:t>[type response here]</w:t>
            </w:r>
          </w:p>
          <w:p w14:paraId="3E71F234" w14:textId="77777777" w:rsidR="00F2415C" w:rsidRPr="001931A1" w:rsidRDefault="00F2415C" w:rsidP="00051979">
            <w:pPr>
              <w:ind w:left="360" w:hanging="360"/>
              <w:rPr>
                <w:rFonts w:cs="Times New Roman"/>
                <w:szCs w:val="24"/>
              </w:rPr>
            </w:pPr>
          </w:p>
        </w:tc>
      </w:tr>
      <w:tr w:rsidR="00F2415C" w14:paraId="00F49C64" w14:textId="77777777" w:rsidTr="00051979">
        <w:tc>
          <w:tcPr>
            <w:tcW w:w="9319" w:type="dxa"/>
            <w:shd w:val="clear" w:color="auto" w:fill="D9E2F3" w:themeFill="accent1" w:themeFillTint="33"/>
          </w:tcPr>
          <w:p w14:paraId="346CACC6" w14:textId="77777777" w:rsidR="00F2415C" w:rsidRPr="00FE50DF" w:rsidRDefault="00F2415C" w:rsidP="00051979">
            <w:pPr>
              <w:ind w:left="325" w:hanging="325"/>
              <w:rPr>
                <w:rFonts w:cs="Times New Roman"/>
                <w:szCs w:val="24"/>
              </w:rPr>
            </w:pPr>
            <w:r w:rsidRPr="001931A1">
              <w:rPr>
                <w:rFonts w:cs="Times New Roman"/>
                <w:szCs w:val="24"/>
              </w:rPr>
              <w:t>6.</w:t>
            </w:r>
            <w:r w:rsidRPr="001931A1">
              <w:rPr>
                <w:rFonts w:cs="Times New Roman"/>
                <w:szCs w:val="24"/>
              </w:rPr>
              <w:tab/>
            </w:r>
            <w:r>
              <w:rPr>
                <w:rFonts w:cs="Times New Roman"/>
                <w:szCs w:val="24"/>
              </w:rPr>
              <w:t>Describe</w:t>
            </w:r>
            <w:r w:rsidRPr="001931A1">
              <w:rPr>
                <w:rFonts w:cs="Times New Roman"/>
                <w:szCs w:val="24"/>
              </w:rPr>
              <w:t xml:space="preserve"> the agreed-upon plan for holding in-person orientations, </w:t>
            </w:r>
            <w:proofErr w:type="gramStart"/>
            <w:r w:rsidRPr="001931A1">
              <w:rPr>
                <w:rFonts w:cs="Times New Roman"/>
                <w:szCs w:val="24"/>
              </w:rPr>
              <w:t>workshops</w:t>
            </w:r>
            <w:proofErr w:type="gramEnd"/>
            <w:r w:rsidRPr="001931A1">
              <w:rPr>
                <w:rFonts w:cs="Times New Roman"/>
                <w:szCs w:val="24"/>
              </w:rPr>
              <w:t xml:space="preserve"> or other group events, including capacity limits for such group events. </w:t>
            </w:r>
            <w:r w:rsidRPr="00FE50DF">
              <w:rPr>
                <w:rFonts w:cs="Times New Roman"/>
                <w:szCs w:val="24"/>
              </w:rPr>
              <w:t xml:space="preserve">Include a description of how walk-in events will be handled versus appointment only events. Events include but are not limited to hiring events, </w:t>
            </w:r>
            <w:proofErr w:type="gramStart"/>
            <w:r w:rsidRPr="00FE50DF">
              <w:rPr>
                <w:rFonts w:cs="Times New Roman"/>
                <w:szCs w:val="24"/>
              </w:rPr>
              <w:t>orientations</w:t>
            </w:r>
            <w:proofErr w:type="gramEnd"/>
            <w:r w:rsidRPr="00FE50DF">
              <w:rPr>
                <w:rFonts w:cs="Times New Roman"/>
                <w:szCs w:val="24"/>
              </w:rPr>
              <w:t xml:space="preserve"> and classes.</w:t>
            </w:r>
          </w:p>
          <w:p w14:paraId="482CFD0C" w14:textId="77777777" w:rsidR="00F2415C" w:rsidRPr="00230612" w:rsidRDefault="00F2415C" w:rsidP="00051979">
            <w:pPr>
              <w:ind w:left="334" w:hanging="334"/>
              <w:rPr>
                <w:rFonts w:cs="Times New Roman"/>
                <w:szCs w:val="24"/>
              </w:rPr>
            </w:pPr>
          </w:p>
        </w:tc>
      </w:tr>
      <w:tr w:rsidR="00F2415C" w14:paraId="1A540EC0" w14:textId="77777777" w:rsidTr="00051979">
        <w:tc>
          <w:tcPr>
            <w:tcW w:w="9319" w:type="dxa"/>
          </w:tcPr>
          <w:p w14:paraId="43205270" w14:textId="77777777" w:rsidR="00F2415C" w:rsidRDefault="00F2415C" w:rsidP="00051979">
            <w:pPr>
              <w:rPr>
                <w:rFonts w:cs="Times New Roman"/>
                <w:szCs w:val="24"/>
              </w:rPr>
            </w:pPr>
            <w:r>
              <w:rPr>
                <w:rFonts w:cs="Times New Roman"/>
                <w:szCs w:val="24"/>
              </w:rPr>
              <w:t>[type response here]</w:t>
            </w:r>
          </w:p>
          <w:p w14:paraId="4A076FAD" w14:textId="77777777" w:rsidR="00F2415C" w:rsidRPr="00230612" w:rsidRDefault="00F2415C" w:rsidP="00051979">
            <w:pPr>
              <w:ind w:left="360" w:hanging="360"/>
              <w:rPr>
                <w:rFonts w:cs="Times New Roman"/>
                <w:szCs w:val="24"/>
              </w:rPr>
            </w:pPr>
          </w:p>
        </w:tc>
      </w:tr>
      <w:tr w:rsidR="00F2415C" w14:paraId="186D7E70" w14:textId="77777777" w:rsidTr="00051979">
        <w:tc>
          <w:tcPr>
            <w:tcW w:w="9319" w:type="dxa"/>
            <w:shd w:val="clear" w:color="auto" w:fill="D9E2F3" w:themeFill="accent1" w:themeFillTint="33"/>
          </w:tcPr>
          <w:p w14:paraId="25C6997E" w14:textId="77777777" w:rsidR="00F2415C" w:rsidRPr="00A15FB4" w:rsidRDefault="00F2415C" w:rsidP="00051979">
            <w:pPr>
              <w:ind w:left="337" w:hanging="337"/>
            </w:pPr>
            <w:r w:rsidRPr="00A15FB4">
              <w:rPr>
                <w:rFonts w:cs="Times New Roman"/>
                <w:szCs w:val="24"/>
              </w:rPr>
              <w:t>7.</w:t>
            </w:r>
            <w:r w:rsidRPr="00A15FB4">
              <w:rPr>
                <w:rFonts w:cs="Times New Roman"/>
                <w:szCs w:val="24"/>
              </w:rPr>
              <w:tab/>
            </w:r>
            <w:r>
              <w:rPr>
                <w:rFonts w:cs="Times New Roman"/>
                <w:szCs w:val="24"/>
              </w:rPr>
              <w:t>Describe</w:t>
            </w:r>
            <w:r w:rsidRPr="00A15FB4">
              <w:rPr>
                <w:rFonts w:cs="Times New Roman"/>
                <w:szCs w:val="24"/>
              </w:rPr>
              <w:t xml:space="preserve"> the agreed-upon staffing plan with a designated program position(s) for who will direct walk-in customers at the front door to ensure they have an appointment for IDES services or can access other program services as a walk-in that same day. </w:t>
            </w:r>
            <w:r w:rsidRPr="00A4726A">
              <w:rPr>
                <w:rFonts w:cs="Times New Roman"/>
                <w:szCs w:val="24"/>
              </w:rPr>
              <w:t xml:space="preserve">As a best practice, the staffing plan should specify that a qualified program representative, not a security </w:t>
            </w:r>
            <w:r w:rsidRPr="00A4726A">
              <w:t>guard, should be the first point of contact for a customer to determine whether that customer needs an appointment or can access walk-in services on demand. However, the plan may outline any special circumstances that are agreed upon by all partners if someone other than a program representative will be the first point of contact for walk-in customers. In all cases, the staffing plan must be agreed upon by the State Agency Director or designee of state-administered programs present in the AJC.</w:t>
            </w:r>
          </w:p>
          <w:p w14:paraId="4EFB4406" w14:textId="77777777" w:rsidR="00F2415C" w:rsidRPr="001931A1" w:rsidRDefault="00F2415C" w:rsidP="00051979">
            <w:pPr>
              <w:ind w:left="360" w:hanging="360"/>
              <w:rPr>
                <w:rFonts w:cs="Times New Roman"/>
                <w:szCs w:val="24"/>
              </w:rPr>
            </w:pPr>
          </w:p>
        </w:tc>
      </w:tr>
      <w:tr w:rsidR="00F2415C" w14:paraId="7982F3E1" w14:textId="77777777" w:rsidTr="00051979">
        <w:tc>
          <w:tcPr>
            <w:tcW w:w="9319" w:type="dxa"/>
          </w:tcPr>
          <w:p w14:paraId="3B984383" w14:textId="77777777" w:rsidR="00F2415C" w:rsidRDefault="00F2415C" w:rsidP="00051979">
            <w:pPr>
              <w:rPr>
                <w:rFonts w:cs="Times New Roman"/>
                <w:szCs w:val="24"/>
              </w:rPr>
            </w:pPr>
            <w:r>
              <w:rPr>
                <w:rFonts w:cs="Times New Roman"/>
                <w:szCs w:val="24"/>
              </w:rPr>
              <w:t>[type response here]</w:t>
            </w:r>
          </w:p>
          <w:p w14:paraId="5B62D49A" w14:textId="77777777" w:rsidR="00F2415C" w:rsidRPr="001931A1" w:rsidRDefault="00F2415C" w:rsidP="00051979">
            <w:pPr>
              <w:ind w:left="360" w:hanging="360"/>
              <w:rPr>
                <w:rFonts w:cs="Times New Roman"/>
                <w:szCs w:val="24"/>
              </w:rPr>
            </w:pPr>
          </w:p>
        </w:tc>
      </w:tr>
      <w:tr w:rsidR="00F2415C" w14:paraId="13AA81F3" w14:textId="77777777" w:rsidTr="00051979">
        <w:tc>
          <w:tcPr>
            <w:tcW w:w="9319" w:type="dxa"/>
            <w:shd w:val="clear" w:color="auto" w:fill="D9E2F3" w:themeFill="accent1" w:themeFillTint="33"/>
          </w:tcPr>
          <w:p w14:paraId="2FD2FA12" w14:textId="77777777" w:rsidR="00F2415C" w:rsidRPr="00230612" w:rsidRDefault="00F2415C" w:rsidP="00051979">
            <w:pPr>
              <w:ind w:left="360" w:hanging="360"/>
              <w:rPr>
                <w:rFonts w:cs="Times New Roman"/>
                <w:szCs w:val="24"/>
              </w:rPr>
            </w:pPr>
            <w:r w:rsidRPr="00230612">
              <w:rPr>
                <w:rFonts w:cs="Times New Roman"/>
                <w:szCs w:val="24"/>
              </w:rPr>
              <w:t>9.</w:t>
            </w:r>
            <w:r w:rsidRPr="00230612">
              <w:rPr>
                <w:rFonts w:cs="Times New Roman"/>
                <w:szCs w:val="24"/>
              </w:rPr>
              <w:tab/>
              <w:t xml:space="preserve">Describe the agreed-upon security plan to ensure initial staff interaction with the public is within the security guard’s line of sight, that security guards are aware of the service area, or that protocol for alerting security is known if staff need assistance during service delivery. </w:t>
            </w:r>
          </w:p>
          <w:p w14:paraId="4BD05DC7" w14:textId="77777777" w:rsidR="00F2415C" w:rsidRPr="001931A1" w:rsidRDefault="00F2415C" w:rsidP="00051979">
            <w:pPr>
              <w:ind w:left="360" w:hanging="360"/>
              <w:rPr>
                <w:rFonts w:cs="Times New Roman"/>
                <w:szCs w:val="24"/>
              </w:rPr>
            </w:pPr>
          </w:p>
        </w:tc>
      </w:tr>
      <w:tr w:rsidR="00F2415C" w14:paraId="3B03A7F0" w14:textId="77777777" w:rsidTr="00051979">
        <w:tc>
          <w:tcPr>
            <w:tcW w:w="9319" w:type="dxa"/>
          </w:tcPr>
          <w:p w14:paraId="0F47F4E9" w14:textId="77777777" w:rsidR="00F2415C" w:rsidRDefault="00F2415C" w:rsidP="00051979">
            <w:pPr>
              <w:rPr>
                <w:rFonts w:cs="Times New Roman"/>
                <w:szCs w:val="24"/>
              </w:rPr>
            </w:pPr>
            <w:r>
              <w:rPr>
                <w:rFonts w:cs="Times New Roman"/>
                <w:szCs w:val="24"/>
              </w:rPr>
              <w:t>[type response here]</w:t>
            </w:r>
          </w:p>
          <w:p w14:paraId="568B59DF" w14:textId="77777777" w:rsidR="00F2415C" w:rsidRPr="001931A1" w:rsidRDefault="00F2415C" w:rsidP="00051979">
            <w:pPr>
              <w:ind w:left="360" w:hanging="360"/>
              <w:rPr>
                <w:rFonts w:cs="Times New Roman"/>
                <w:szCs w:val="24"/>
              </w:rPr>
            </w:pPr>
          </w:p>
        </w:tc>
      </w:tr>
      <w:tr w:rsidR="00F2415C" w14:paraId="402A72FA" w14:textId="77777777" w:rsidTr="00051979">
        <w:tc>
          <w:tcPr>
            <w:tcW w:w="9319" w:type="dxa"/>
            <w:shd w:val="clear" w:color="auto" w:fill="D9E2F3" w:themeFill="accent1" w:themeFillTint="33"/>
          </w:tcPr>
          <w:p w14:paraId="164E798F" w14:textId="77777777" w:rsidR="00F2415C" w:rsidRPr="00230612" w:rsidRDefault="00F2415C" w:rsidP="00051979">
            <w:pPr>
              <w:ind w:left="360" w:hanging="360"/>
              <w:rPr>
                <w:rFonts w:cs="Times New Roman"/>
                <w:szCs w:val="24"/>
              </w:rPr>
            </w:pPr>
            <w:r w:rsidRPr="00230612">
              <w:rPr>
                <w:rFonts w:cs="Times New Roman"/>
                <w:szCs w:val="24"/>
              </w:rPr>
              <w:t>8.</w:t>
            </w:r>
            <w:r w:rsidRPr="00230612">
              <w:rPr>
                <w:rFonts w:cs="Times New Roman"/>
                <w:szCs w:val="24"/>
              </w:rPr>
              <w:tab/>
              <w:t xml:space="preserve">Confirm </w:t>
            </w:r>
            <w:r>
              <w:rPr>
                <w:rFonts w:cs="Times New Roman"/>
                <w:szCs w:val="24"/>
              </w:rPr>
              <w:t xml:space="preserve">how </w:t>
            </w:r>
            <w:r w:rsidRPr="00230612">
              <w:rPr>
                <w:rFonts w:cs="Times New Roman"/>
                <w:szCs w:val="24"/>
              </w:rPr>
              <w:t xml:space="preserve">the staffing plan </w:t>
            </w:r>
            <w:r>
              <w:rPr>
                <w:rFonts w:cs="Times New Roman"/>
                <w:szCs w:val="24"/>
              </w:rPr>
              <w:t xml:space="preserve">prepares staff to </w:t>
            </w:r>
            <w:r w:rsidRPr="00230612">
              <w:rPr>
                <w:rFonts w:cs="Times New Roman"/>
                <w:szCs w:val="24"/>
              </w:rPr>
              <w:t>de-escalat</w:t>
            </w:r>
            <w:r>
              <w:rPr>
                <w:rFonts w:cs="Times New Roman"/>
                <w:szCs w:val="24"/>
              </w:rPr>
              <w:t>e tension</w:t>
            </w:r>
            <w:r w:rsidRPr="00230612">
              <w:rPr>
                <w:rFonts w:cs="Times New Roman"/>
                <w:szCs w:val="24"/>
              </w:rPr>
              <w:t xml:space="preserve"> when </w:t>
            </w:r>
            <w:r>
              <w:rPr>
                <w:rFonts w:cs="Times New Roman"/>
                <w:szCs w:val="24"/>
              </w:rPr>
              <w:t xml:space="preserve">walk-in </w:t>
            </w:r>
            <w:r w:rsidRPr="00230612">
              <w:rPr>
                <w:rFonts w:cs="Times New Roman"/>
                <w:szCs w:val="24"/>
              </w:rPr>
              <w:t xml:space="preserve">customers </w:t>
            </w:r>
            <w:r>
              <w:rPr>
                <w:rFonts w:cs="Times New Roman"/>
                <w:szCs w:val="24"/>
              </w:rPr>
              <w:t xml:space="preserve">also seek </w:t>
            </w:r>
            <w:r w:rsidRPr="00230612">
              <w:rPr>
                <w:rFonts w:cs="Times New Roman"/>
                <w:szCs w:val="24"/>
              </w:rPr>
              <w:t>UI services while they are in the center even though they need to make an appointment</w:t>
            </w:r>
            <w:r>
              <w:rPr>
                <w:rFonts w:cs="Times New Roman"/>
                <w:szCs w:val="24"/>
              </w:rPr>
              <w:t xml:space="preserve"> for UI services</w:t>
            </w:r>
            <w:r w:rsidRPr="00230612">
              <w:rPr>
                <w:rFonts w:cs="Times New Roman"/>
                <w:szCs w:val="24"/>
              </w:rPr>
              <w:t xml:space="preserve">. </w:t>
            </w:r>
          </w:p>
          <w:p w14:paraId="5B9A0E7B" w14:textId="77777777" w:rsidR="00F2415C" w:rsidRPr="001931A1" w:rsidRDefault="00F2415C" w:rsidP="00051979">
            <w:pPr>
              <w:ind w:left="360" w:hanging="360"/>
              <w:rPr>
                <w:rFonts w:cs="Times New Roman"/>
                <w:szCs w:val="24"/>
              </w:rPr>
            </w:pPr>
          </w:p>
        </w:tc>
      </w:tr>
      <w:tr w:rsidR="00F2415C" w14:paraId="65AD4B92" w14:textId="77777777" w:rsidTr="00051979">
        <w:tc>
          <w:tcPr>
            <w:tcW w:w="9319" w:type="dxa"/>
          </w:tcPr>
          <w:p w14:paraId="3789C90C" w14:textId="77777777" w:rsidR="00F2415C" w:rsidRDefault="00F2415C" w:rsidP="00051979">
            <w:pPr>
              <w:rPr>
                <w:rFonts w:cs="Times New Roman"/>
                <w:szCs w:val="24"/>
              </w:rPr>
            </w:pPr>
            <w:r>
              <w:rPr>
                <w:rFonts w:cs="Times New Roman"/>
                <w:szCs w:val="24"/>
              </w:rPr>
              <w:lastRenderedPageBreak/>
              <w:t>[type response here]</w:t>
            </w:r>
          </w:p>
          <w:p w14:paraId="3BF29E3D" w14:textId="77777777" w:rsidR="00F2415C" w:rsidRPr="001931A1" w:rsidRDefault="00F2415C" w:rsidP="00051979">
            <w:pPr>
              <w:ind w:left="360" w:hanging="360"/>
              <w:rPr>
                <w:rFonts w:cs="Times New Roman"/>
                <w:szCs w:val="24"/>
              </w:rPr>
            </w:pPr>
          </w:p>
        </w:tc>
      </w:tr>
      <w:tr w:rsidR="00F2415C" w14:paraId="01820D81" w14:textId="77777777" w:rsidTr="00051979">
        <w:tc>
          <w:tcPr>
            <w:tcW w:w="9319" w:type="dxa"/>
            <w:shd w:val="clear" w:color="auto" w:fill="D9E2F3" w:themeFill="accent1" w:themeFillTint="33"/>
          </w:tcPr>
          <w:p w14:paraId="44390FD5" w14:textId="77777777" w:rsidR="00F2415C" w:rsidRPr="00230612" w:rsidRDefault="00F2415C" w:rsidP="00051979">
            <w:pPr>
              <w:ind w:left="360" w:hanging="360"/>
              <w:rPr>
                <w:rFonts w:cs="Times New Roman"/>
                <w:szCs w:val="24"/>
              </w:rPr>
            </w:pPr>
            <w:r w:rsidRPr="00230612">
              <w:rPr>
                <w:rFonts w:cs="Times New Roman"/>
                <w:szCs w:val="24"/>
              </w:rPr>
              <w:t>10.</w:t>
            </w:r>
            <w:r w:rsidRPr="00230612">
              <w:rPr>
                <w:rFonts w:cs="Times New Roman"/>
                <w:szCs w:val="24"/>
              </w:rPr>
              <w:tab/>
              <w:t xml:space="preserve">Describe the Resource Room protocol when capacity is reached, and customers wait to access the Resource Room services. </w:t>
            </w:r>
          </w:p>
          <w:p w14:paraId="5C213884" w14:textId="77777777" w:rsidR="00F2415C" w:rsidRPr="001931A1" w:rsidRDefault="00F2415C" w:rsidP="00051979">
            <w:pPr>
              <w:ind w:left="360" w:hanging="360"/>
              <w:rPr>
                <w:rFonts w:cs="Times New Roman"/>
                <w:szCs w:val="24"/>
              </w:rPr>
            </w:pPr>
          </w:p>
        </w:tc>
      </w:tr>
      <w:tr w:rsidR="00F2415C" w14:paraId="3295256F" w14:textId="77777777" w:rsidTr="00051979">
        <w:tc>
          <w:tcPr>
            <w:tcW w:w="9319" w:type="dxa"/>
          </w:tcPr>
          <w:p w14:paraId="754CB067" w14:textId="77777777" w:rsidR="00F2415C" w:rsidRDefault="00F2415C" w:rsidP="00051979">
            <w:pPr>
              <w:rPr>
                <w:rFonts w:cs="Times New Roman"/>
                <w:szCs w:val="24"/>
              </w:rPr>
            </w:pPr>
            <w:r>
              <w:rPr>
                <w:rFonts w:cs="Times New Roman"/>
                <w:szCs w:val="24"/>
              </w:rPr>
              <w:t>[type response here]</w:t>
            </w:r>
          </w:p>
          <w:p w14:paraId="1A185582" w14:textId="77777777" w:rsidR="00F2415C" w:rsidRPr="001931A1" w:rsidRDefault="00F2415C" w:rsidP="00051979">
            <w:pPr>
              <w:ind w:left="360" w:hanging="360"/>
              <w:rPr>
                <w:rFonts w:cs="Times New Roman"/>
                <w:szCs w:val="24"/>
              </w:rPr>
            </w:pPr>
          </w:p>
        </w:tc>
      </w:tr>
      <w:tr w:rsidR="00F2415C" w14:paraId="652A04EB" w14:textId="77777777" w:rsidTr="00051979">
        <w:tc>
          <w:tcPr>
            <w:tcW w:w="9319" w:type="dxa"/>
            <w:shd w:val="clear" w:color="auto" w:fill="D9E2F3" w:themeFill="accent1" w:themeFillTint="33"/>
          </w:tcPr>
          <w:p w14:paraId="1EC9D88F" w14:textId="77777777" w:rsidR="00F2415C" w:rsidRPr="00230612" w:rsidRDefault="00F2415C" w:rsidP="00051979">
            <w:pPr>
              <w:ind w:left="360" w:hanging="360"/>
              <w:rPr>
                <w:rFonts w:cs="Times New Roman"/>
                <w:szCs w:val="24"/>
              </w:rPr>
            </w:pPr>
            <w:r w:rsidRPr="00230612">
              <w:rPr>
                <w:rFonts w:cs="Times New Roman"/>
                <w:szCs w:val="24"/>
              </w:rPr>
              <w:t>11.</w:t>
            </w:r>
            <w:r w:rsidRPr="00230612">
              <w:rPr>
                <w:rFonts w:cs="Times New Roman"/>
                <w:szCs w:val="24"/>
              </w:rPr>
              <w:tab/>
              <w:t xml:space="preserve">Describe agreed-upon messaging, </w:t>
            </w:r>
            <w:proofErr w:type="gramStart"/>
            <w:r w:rsidRPr="00230612">
              <w:rPr>
                <w:rFonts w:cs="Times New Roman"/>
                <w:szCs w:val="24"/>
              </w:rPr>
              <w:t>signage</w:t>
            </w:r>
            <w:proofErr w:type="gramEnd"/>
            <w:r w:rsidRPr="00230612">
              <w:rPr>
                <w:rFonts w:cs="Times New Roman"/>
                <w:szCs w:val="24"/>
              </w:rPr>
              <w:t xml:space="preserve"> and communications plan to make it explicit to customers which services are available </w:t>
            </w:r>
            <w:r>
              <w:rPr>
                <w:rFonts w:cs="Times New Roman"/>
                <w:szCs w:val="24"/>
              </w:rPr>
              <w:t xml:space="preserve">on a </w:t>
            </w:r>
            <w:r w:rsidRPr="00230612">
              <w:rPr>
                <w:rFonts w:cs="Times New Roman"/>
                <w:szCs w:val="24"/>
              </w:rPr>
              <w:t xml:space="preserve">walk-in </w:t>
            </w:r>
            <w:r>
              <w:rPr>
                <w:rFonts w:cs="Times New Roman"/>
                <w:szCs w:val="24"/>
              </w:rPr>
              <w:t xml:space="preserve">basis </w:t>
            </w:r>
            <w:r w:rsidRPr="00230612">
              <w:rPr>
                <w:rFonts w:cs="Times New Roman"/>
                <w:szCs w:val="24"/>
              </w:rPr>
              <w:t>and which require appointments.</w:t>
            </w:r>
            <w:r w:rsidRPr="00A15FB4">
              <w:t xml:space="preserve"> </w:t>
            </w:r>
            <w:r w:rsidRPr="00A4726A">
              <w:rPr>
                <w:rFonts w:cs="Times New Roman"/>
                <w:szCs w:val="24"/>
              </w:rPr>
              <w:t>If there will be external communication, describe the timeline, platform (e.g., email, social media, press releases, etc.) and the general language to be used.</w:t>
            </w:r>
          </w:p>
          <w:p w14:paraId="4085B97F" w14:textId="77777777" w:rsidR="00F2415C" w:rsidRPr="001931A1" w:rsidRDefault="00F2415C" w:rsidP="00051979">
            <w:pPr>
              <w:ind w:left="360" w:hanging="360"/>
              <w:rPr>
                <w:rFonts w:cs="Times New Roman"/>
                <w:szCs w:val="24"/>
              </w:rPr>
            </w:pPr>
          </w:p>
        </w:tc>
      </w:tr>
      <w:tr w:rsidR="00F2415C" w14:paraId="3F297D9E" w14:textId="77777777" w:rsidTr="00051979">
        <w:tc>
          <w:tcPr>
            <w:tcW w:w="9319" w:type="dxa"/>
          </w:tcPr>
          <w:p w14:paraId="180B85AA" w14:textId="77777777" w:rsidR="00F2415C" w:rsidRDefault="00F2415C" w:rsidP="00051979">
            <w:pPr>
              <w:rPr>
                <w:rFonts w:cs="Times New Roman"/>
                <w:szCs w:val="24"/>
              </w:rPr>
            </w:pPr>
            <w:r>
              <w:rPr>
                <w:rFonts w:cs="Times New Roman"/>
                <w:szCs w:val="24"/>
              </w:rPr>
              <w:t>[type response here]</w:t>
            </w:r>
          </w:p>
          <w:p w14:paraId="0D137984" w14:textId="77777777" w:rsidR="00F2415C" w:rsidRPr="00230612" w:rsidRDefault="00F2415C" w:rsidP="00051979">
            <w:pPr>
              <w:ind w:left="360" w:hanging="360"/>
              <w:rPr>
                <w:rFonts w:cs="Times New Roman"/>
                <w:szCs w:val="24"/>
              </w:rPr>
            </w:pPr>
          </w:p>
        </w:tc>
      </w:tr>
      <w:tr w:rsidR="00F2415C" w14:paraId="08F38170" w14:textId="77777777" w:rsidTr="00051979">
        <w:tc>
          <w:tcPr>
            <w:tcW w:w="9319" w:type="dxa"/>
            <w:shd w:val="clear" w:color="auto" w:fill="D9E2F3" w:themeFill="accent1" w:themeFillTint="33"/>
          </w:tcPr>
          <w:p w14:paraId="35C4E6DF" w14:textId="77777777" w:rsidR="00F2415C" w:rsidRPr="00A4726A" w:rsidRDefault="00F2415C" w:rsidP="00051979">
            <w:pPr>
              <w:pStyle w:val="ListParagraph"/>
              <w:numPr>
                <w:ilvl w:val="0"/>
                <w:numId w:val="1"/>
              </w:numPr>
              <w:ind w:left="337" w:hanging="337"/>
              <w:rPr>
                <w:rFonts w:cs="Times New Roman"/>
                <w:szCs w:val="24"/>
              </w:rPr>
            </w:pPr>
            <w:r w:rsidRPr="00A4726A">
              <w:rPr>
                <w:rFonts w:cs="Times New Roman"/>
                <w:szCs w:val="24"/>
              </w:rPr>
              <w:t>Document the date and method of communications between all partners acknowledging their review and approval of this amended reopening plan.</w:t>
            </w:r>
          </w:p>
          <w:p w14:paraId="5DD9D5FF" w14:textId="77777777" w:rsidR="00F2415C" w:rsidRPr="00EE4AEF" w:rsidRDefault="00F2415C" w:rsidP="00051979">
            <w:pPr>
              <w:pStyle w:val="ListParagraph"/>
              <w:ind w:left="337"/>
              <w:rPr>
                <w:rFonts w:cs="Times New Roman"/>
                <w:szCs w:val="24"/>
              </w:rPr>
            </w:pPr>
          </w:p>
        </w:tc>
      </w:tr>
      <w:tr w:rsidR="00F2415C" w14:paraId="31A27E2D" w14:textId="77777777" w:rsidTr="00051979">
        <w:tc>
          <w:tcPr>
            <w:tcW w:w="9319" w:type="dxa"/>
          </w:tcPr>
          <w:p w14:paraId="00B96B73" w14:textId="77777777" w:rsidR="00F2415C" w:rsidRDefault="00F2415C" w:rsidP="00051979">
            <w:pPr>
              <w:rPr>
                <w:rFonts w:cs="Times New Roman"/>
                <w:szCs w:val="24"/>
              </w:rPr>
            </w:pPr>
            <w:r>
              <w:rPr>
                <w:rFonts w:cs="Times New Roman"/>
                <w:szCs w:val="24"/>
              </w:rPr>
              <w:t>[type response here]</w:t>
            </w:r>
          </w:p>
          <w:p w14:paraId="645BD25F" w14:textId="77777777" w:rsidR="00F2415C" w:rsidRPr="00A15FB4" w:rsidRDefault="00F2415C" w:rsidP="00051979">
            <w:pPr>
              <w:rPr>
                <w:rFonts w:cs="Times New Roman"/>
                <w:szCs w:val="24"/>
              </w:rPr>
            </w:pPr>
          </w:p>
        </w:tc>
      </w:tr>
    </w:tbl>
    <w:p w14:paraId="41CF465C" w14:textId="77777777" w:rsidR="00F2415C" w:rsidRPr="001931A1" w:rsidRDefault="00F2415C" w:rsidP="00F2415C">
      <w:pPr>
        <w:spacing w:after="0" w:line="240" w:lineRule="auto"/>
        <w:ind w:left="360"/>
        <w:rPr>
          <w:rFonts w:cs="Times New Roman"/>
          <w:szCs w:val="24"/>
        </w:rPr>
      </w:pPr>
    </w:p>
    <w:p w14:paraId="47CB123C" w14:textId="77777777" w:rsidR="00F2415C" w:rsidRPr="001931A1" w:rsidRDefault="00F2415C" w:rsidP="00F2415C">
      <w:pPr>
        <w:spacing w:after="0" w:line="240" w:lineRule="auto"/>
        <w:ind w:left="360"/>
        <w:rPr>
          <w:rFonts w:cs="Times New Roman"/>
          <w:szCs w:val="24"/>
        </w:rPr>
      </w:pPr>
    </w:p>
    <w:p w14:paraId="54876754" w14:textId="77777777" w:rsidR="00F2415C" w:rsidRPr="001931A1" w:rsidRDefault="00F2415C" w:rsidP="00F2415C">
      <w:pPr>
        <w:spacing w:after="0" w:line="240" w:lineRule="auto"/>
        <w:ind w:left="360"/>
        <w:rPr>
          <w:rFonts w:cs="Times New Roman"/>
          <w:szCs w:val="24"/>
        </w:rPr>
      </w:pPr>
    </w:p>
    <w:p w14:paraId="6993F20E" w14:textId="77777777" w:rsidR="00F2415C" w:rsidRPr="001931A1" w:rsidRDefault="00F2415C" w:rsidP="00F2415C">
      <w:pPr>
        <w:spacing w:after="0" w:line="240" w:lineRule="auto"/>
        <w:ind w:left="360"/>
        <w:rPr>
          <w:rFonts w:cs="Times New Roman"/>
          <w:szCs w:val="24"/>
        </w:rPr>
      </w:pPr>
    </w:p>
    <w:p w14:paraId="6BB9FC8B" w14:textId="77777777" w:rsidR="00F2415C" w:rsidRPr="001931A1" w:rsidRDefault="00F2415C" w:rsidP="00F2415C">
      <w:pPr>
        <w:spacing w:after="0" w:line="240" w:lineRule="auto"/>
        <w:ind w:left="360"/>
        <w:rPr>
          <w:rFonts w:cs="Times New Roman"/>
          <w:szCs w:val="24"/>
        </w:rPr>
      </w:pPr>
    </w:p>
    <w:p w14:paraId="591A4B31" w14:textId="77777777" w:rsidR="00F2415C" w:rsidRPr="001931A1" w:rsidRDefault="00F2415C" w:rsidP="00F2415C">
      <w:pPr>
        <w:spacing w:after="0" w:line="240" w:lineRule="auto"/>
        <w:ind w:left="360"/>
        <w:rPr>
          <w:rFonts w:cs="Times New Roman"/>
          <w:szCs w:val="24"/>
        </w:rPr>
      </w:pPr>
    </w:p>
    <w:p w14:paraId="60C389D0" w14:textId="77777777" w:rsidR="00F2415C" w:rsidRPr="001931A1" w:rsidRDefault="00F2415C" w:rsidP="00F2415C">
      <w:pPr>
        <w:spacing w:after="0" w:line="240" w:lineRule="auto"/>
        <w:ind w:left="360"/>
        <w:rPr>
          <w:rFonts w:cs="Times New Roman"/>
          <w:szCs w:val="24"/>
        </w:rPr>
      </w:pPr>
    </w:p>
    <w:p w14:paraId="488AE9CC" w14:textId="77777777" w:rsidR="00F2415C" w:rsidRPr="001931A1" w:rsidRDefault="00F2415C" w:rsidP="00F2415C">
      <w:pPr>
        <w:spacing w:after="0" w:line="240" w:lineRule="auto"/>
        <w:ind w:left="360"/>
        <w:rPr>
          <w:rFonts w:cs="Times New Roman"/>
          <w:szCs w:val="24"/>
        </w:rPr>
      </w:pPr>
    </w:p>
    <w:p w14:paraId="14380CE8" w14:textId="77777777" w:rsidR="00F2415C" w:rsidRPr="001931A1" w:rsidRDefault="00F2415C" w:rsidP="00F2415C">
      <w:pPr>
        <w:spacing w:after="0" w:line="240" w:lineRule="auto"/>
        <w:ind w:left="360"/>
        <w:rPr>
          <w:rFonts w:cs="Times New Roman"/>
          <w:szCs w:val="24"/>
        </w:rPr>
      </w:pPr>
    </w:p>
    <w:p w14:paraId="4553D2EF" w14:textId="77777777" w:rsidR="00F2415C" w:rsidRPr="001931A1" w:rsidRDefault="00F2415C" w:rsidP="00F2415C">
      <w:pPr>
        <w:spacing w:after="0" w:line="240" w:lineRule="auto"/>
        <w:ind w:left="360"/>
        <w:rPr>
          <w:rFonts w:cs="Times New Roman"/>
          <w:szCs w:val="24"/>
        </w:rPr>
      </w:pPr>
    </w:p>
    <w:p w14:paraId="516637E8" w14:textId="77777777" w:rsidR="005B780A" w:rsidRDefault="005B780A"/>
    <w:sectPr w:rsidR="005B780A" w:rsidSect="007A0EB3">
      <w:headerReference w:type="default" r:id="rId6"/>
      <w:pgSz w:w="12240" w:h="15840"/>
      <w:pgMar w:top="1440" w:right="1440" w:bottom="12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FEC92" w14:textId="77777777" w:rsidR="000F623C" w:rsidRPr="00EE4AEF" w:rsidRDefault="00F2415C" w:rsidP="001931A1">
    <w:pPr>
      <w:pStyle w:val="Header"/>
      <w:jc w:val="center"/>
      <w:rPr>
        <w:b/>
        <w:bCs/>
      </w:rPr>
    </w:pPr>
    <w:r>
      <w:rPr>
        <w:b/>
        <w:bCs/>
      </w:rPr>
      <w:t>Exhibit I</w:t>
    </w:r>
    <w:r w:rsidRPr="00EE4AEF">
      <w:rPr>
        <w:b/>
        <w:bCs/>
      </w:rPr>
      <w:t xml:space="preserve"> </w:t>
    </w:r>
    <w:r>
      <w:rPr>
        <w:b/>
        <w:bCs/>
      </w:rPr>
      <w:t>to this Memo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E7201A"/>
    <w:multiLevelType w:val="hybridMultilevel"/>
    <w:tmpl w:val="88242CD6"/>
    <w:lvl w:ilvl="0" w:tplc="2AD6A590">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192054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15C"/>
    <w:rsid w:val="005B780A"/>
    <w:rsid w:val="00F241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7DA36"/>
  <w15:chartTrackingRefBased/>
  <w15:docId w15:val="{A9C4B502-CF78-431B-917E-8F7F89C81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415C"/>
    <w:rPr>
      <w:rFonts w:ascii="Source Sans Pro" w:hAnsi="Source Sans Pro"/>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415C"/>
    <w:pPr>
      <w:ind w:left="720"/>
      <w:contextualSpacing/>
    </w:pPr>
  </w:style>
  <w:style w:type="character" w:styleId="Hyperlink">
    <w:name w:val="Hyperlink"/>
    <w:basedOn w:val="DefaultParagraphFont"/>
    <w:uiPriority w:val="99"/>
    <w:unhideWhenUsed/>
    <w:rsid w:val="00F2415C"/>
    <w:rPr>
      <w:color w:val="0563C1" w:themeColor="hyperlink"/>
      <w:u w:val="single"/>
    </w:rPr>
  </w:style>
  <w:style w:type="paragraph" w:styleId="Header">
    <w:name w:val="header"/>
    <w:basedOn w:val="Normal"/>
    <w:link w:val="HeaderChar"/>
    <w:uiPriority w:val="99"/>
    <w:unhideWhenUsed/>
    <w:rsid w:val="00F241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415C"/>
    <w:rPr>
      <w:rFonts w:ascii="Source Sans Pro" w:hAnsi="Source Sans Pro"/>
      <w:sz w:val="24"/>
    </w:rPr>
  </w:style>
  <w:style w:type="table" w:styleId="TableGrid">
    <w:name w:val="Table Grid"/>
    <w:basedOn w:val="TableNormal"/>
    <w:uiPriority w:val="39"/>
    <w:rsid w:val="00F241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F2415C"/>
    <w:pPr>
      <w:spacing w:after="0" w:line="240" w:lineRule="auto"/>
    </w:pPr>
    <w:rPr>
      <w:rFonts w:ascii="Source Sans Pro" w:hAnsi="Source Sans Pro"/>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hyperlink" Target="https://apps.illinoisworknet.com/WIOAPolicy/Policy/Index/46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736</Words>
  <Characters>4201</Characters>
  <Application>Microsoft Office Word</Application>
  <DocSecurity>0</DocSecurity>
  <Lines>35</Lines>
  <Paragraphs>9</Paragraphs>
  <ScaleCrop>false</ScaleCrop>
  <Company/>
  <LinksUpToDate>false</LinksUpToDate>
  <CharactersWithSpaces>4928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Thomason, Drew</dc:creator>
  <cp:keywords/>
  <dc:description/>
  <cp:lastModifiedBy>Thomason, Drew</cp:lastModifiedBy>
  <cp:revision>1</cp:revision>
  <dcterms:created xsi:type="dcterms:W3CDTF">2022-08-18T16:42:00Z</dcterms:created>
  <dcterms:modified xsi:type="dcterms:W3CDTF">2022-08-18T16:43:00Z</dcterms:modified>
</cp:coreProperties>
</file>